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 (2Q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~3.0% vs. cons 4.64%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FFO/Share (2Q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Leasing Spreads (2Q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~12.5% vs. cons 11.2%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NOI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~3.25-3.75% vs. cons 4.31%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Nareit FFO/Share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~$4.85 vs. cons $4.856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H2 trajectory / development pipeline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SNO pipeline and back-half dev starts; no formal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(STABILIZE)</w:t>
            </w:r>
          </w:p>
        </w:tc>
        <w:tc>
          <w:tcPr/>
          <w:p>
            <w:pPr>
              <w:pStyle w:val="Compact"/>
            </w:pPr>
            <w:r>
              <w:t xml:space="preserve">STABILIZE -- estimate cuts on SS NOI pull FY consensus toward guided range; leasing beat limits further downside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2026-08-01T02:02:47Z</dcterms:created>
  <dcterms:modified xsi:type="dcterms:W3CDTF">2026-08-01T02:02:47Z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