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Regency Centers (REG) — Q2 2026 Earnings Preview</w:t>
      </w:r>
    </w:p>
    <w:p>
      <w:r>
        <w:rPr>
          <w:rFonts w:ascii="Calibri" w:hAnsi="Calibri"/>
          <w:b/>
          <w:color w:val="525866"/>
          <w:sz w:val="22"/>
        </w:rPr>
        <w:t xml:space="preserve">Ticker: </w:t>
      </w:r>
      <w:r>
        <w:rPr>
          <w:rFonts w:ascii="Calibri" w:hAnsi="Calibri"/>
          <w:color w:val="525866"/>
          <w:sz w:val="22"/>
        </w:rPr>
        <w:t xml:space="preserve">REG  </w:t>
      </w:r>
      <w:r>
        <w:rPr>
          <w:rFonts w:ascii="Calibri" w:hAnsi="Calibri"/>
          <w:b/>
          <w:color w:val="525866"/>
          <w:sz w:val="22"/>
        </w:rPr>
        <w:t xml:space="preserve">  |  Upcoming Earnings: </w:t>
      </w:r>
      <w:r>
        <w:rPr>
          <w:rFonts w:ascii="Calibri" w:hAnsi="Calibri"/>
          <w:color w:val="525866"/>
          <w:sz w:val="22"/>
        </w:rPr>
        <w:t xml:space="preserve">Expected late July / early August 2026  </w:t>
      </w:r>
      <w:r>
        <w:rPr>
          <w:rFonts w:ascii="Calibri" w:hAnsi="Calibri"/>
          <w:b/>
          <w:color w:val="525866"/>
          <w:sz w:val="22"/>
        </w:rPr>
        <w:t xml:space="preserve">  |  Prepared: </w:t>
      </w:r>
      <w:r>
        <w:rPr>
          <w:rFonts w:ascii="Calibri" w:hAnsi="Calibri"/>
          <w:color w:val="525866"/>
          <w:sz w:val="22"/>
        </w:rPr>
        <w:t xml:space="preserve">July 28, 2026  </w:t>
      </w:r>
      <w:r>
        <w:rPr>
          <w:rFonts w:ascii="Calibri" w:hAnsi="Calibri"/>
          <w:b/>
          <w:color w:val="525866"/>
          <w:sz w:val="22"/>
        </w:rPr>
        <w:t xml:space="preserve">  |  Last Earnings: </w:t>
      </w:r>
      <w:r>
        <w:rPr>
          <w:rFonts w:ascii="Calibri" w:hAnsi="Calibri"/>
          <w:color w:val="525866"/>
          <w:sz w:val="22"/>
        </w:rPr>
        <w:t>April 29, 2026 (Q1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w:t>
      </w:r>
      <w:r>
        <w:rPr>
          <w:rFonts w:ascii="Calibri" w:hAnsi="Calibri"/>
          <w:b/>
          <w:color w:val="525866"/>
          <w:sz w:val="22"/>
        </w:rPr>
        <w:t>modestly cautious</w:t>
      </w:r>
      <w:r>
        <w:rPr>
          <w:rFonts w:ascii="Calibri" w:hAnsi="Calibri"/>
          <w:color w:val="525866"/>
          <w:sz w:val="22"/>
        </w:rPr>
        <w:t xml:space="preserve"> — management pre-guided same-property NOI growth to fall </w:t>
      </w:r>
      <w:r>
        <w:rPr>
          <w:rFonts w:ascii="Calibri" w:hAnsi="Calibri"/>
          <w:b/>
          <w:color w:val="525866"/>
          <w:sz w:val="22"/>
        </w:rPr>
        <w:t>below the full-year 3.25%–3.75% range</w:t>
      </w:r>
      <w:r>
        <w:rPr>
          <w:rFonts w:ascii="Calibri" w:hAnsi="Calibri"/>
          <w:color w:val="525866"/>
          <w:sz w:val="22"/>
        </w:rPr>
        <w:t xml:space="preserve"> due to a tough CAM reconciliation comp, making the quarter a known speed bump rather than a fundamental deterioration; the bigger swing factor is whether </w:t>
      </w:r>
      <w:r>
        <w:rPr>
          <w:rFonts w:ascii="Calibri" w:hAnsi="Calibri"/>
          <w:b/>
          <w:color w:val="525866"/>
          <w:sz w:val="22"/>
        </w:rPr>
        <w:t>SNO pipeline conversion and rent spread momentum</w:t>
      </w:r>
      <w:r>
        <w:rPr>
          <w:rFonts w:ascii="Calibri" w:hAnsi="Calibri"/>
          <w:color w:val="525866"/>
          <w:sz w:val="22"/>
        </w:rPr>
        <w:t xml:space="preserve"> can offset the timing headwind and keep the full-year guide intact.</w:t>
      </w:r>
    </w:p>
    <w:p>
      <w:r>
        <w:rPr>
          <w:rFonts w:ascii="Calibri" w:hAnsi="Calibri"/>
          <w:color w:val="525866"/>
          <w:sz w:val="22"/>
        </w:rPr>
        <w:t xml:space="preserve">The bar for Q2 is intentionally set low: consensus same-property NOI growth sits at ~4.6% (as of the post-Q1 baseline) but management explicitly flagged Q2 would print below the 3.25%–3.75% full-year range, meaning the street has already adjusted expectations downward and a beat on the headline NOI line is plausible. </w:t>
      </w:r>
      <w:r>
        <w:rPr>
          <w:rFonts w:ascii="Calibri" w:hAnsi="Calibri"/>
          <w:b/>
          <w:color w:val="525866"/>
          <w:sz w:val="22"/>
        </w:rPr>
        <w:t>Management's tone on the Q1 call was highly confident</w:t>
      </w:r>
      <w:r>
        <w:rPr>
          <w:rFonts w:ascii="Calibri" w:hAnsi="Calibri"/>
          <w:color w:val="525866"/>
          <w:sz w:val="22"/>
        </w:rPr>
        <w:t xml:space="preserve"> — Lisa Palmer cited "100% confidence" in top-of-sector same-property NOI growth over the long term, and the full-year guide was reaffirmed across all key metrics (Nareit FFO, Core Operating Earnings, same-property NOI growth) with development spend guidance raised modestly. </w:t>
      </w:r>
      <w:r>
        <w:rPr>
          <w:rFonts w:ascii="Calibri" w:hAnsi="Calibri"/>
          <w:b/>
          <w:color w:val="525866"/>
          <w:sz w:val="22"/>
        </w:rPr>
        <w:t>Estimate revisions have been broadly stable</w:t>
      </w:r>
      <w:r>
        <w:rPr>
          <w:rFonts w:ascii="Calibri" w:hAnsi="Calibri"/>
          <w:color w:val="525866"/>
          <w:sz w:val="22"/>
        </w:rPr>
        <w:t xml:space="preserve"> since the Q1 print, with Operating FFO per share consensus for Q2 2026 at ~$1.15 vs. the post-Q1 baseline of ~$1.14, suggesting the street is tracking guidance rather than diverging. </w:t>
      </w:r>
      <w:r>
        <w:rPr>
          <w:rFonts w:ascii="Calibri" w:hAnsi="Calibri"/>
          <w:b/>
          <w:color w:val="525866"/>
          <w:sz w:val="22"/>
        </w:rPr>
        <w:t>The stock has underperformed XLRE (+5.4%) and the S&amp;P 500 (+4.1%) since the April 29 print, returning only +2.0%</w:t>
      </w:r>
      <w:r>
        <w:rPr>
          <w:rFonts w:ascii="Calibri" w:hAnsi="Calibri"/>
          <w:color w:val="525866"/>
          <w:sz w:val="22"/>
        </w:rPr>
        <w:t xml:space="preserve">, reflecting the premium valuation overhang and the known Q2 NOI deceleration — this relative underperformance actually creates a more attractive risk/reward if the full-year guide holds. The key wildcard is </w:t>
      </w:r>
      <w:r>
        <w:rPr>
          <w:rFonts w:ascii="Calibri" w:hAnsi="Calibri"/>
          <w:b/>
          <w:color w:val="525866"/>
          <w:sz w:val="22"/>
        </w:rPr>
        <w:t>tenant credit and bankruptcy activity</w:t>
      </w:r>
      <w:r>
        <w:rPr>
          <w:rFonts w:ascii="Calibri" w:hAnsi="Calibri"/>
          <w:color w:val="525866"/>
          <w:sz w:val="22"/>
        </w:rPr>
        <w:t>: management noted ongoing bankruptcy filings on the Q1 call and moved one tenant to cash-basis accounting, and any incremental bad debt surprise or watch-list expansion could pressure the uncollectible lease income assumption that underpins the full-year same-property NOI guide.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 on same-property NOI growth</w:t>
      </w:r>
      <w:r>
        <w:rPr>
          <w:rFonts w:ascii="Calibri" w:hAnsi="Calibri"/>
          <w:color w:val="525866"/>
          <w:sz w:val="22"/>
        </w:rPr>
        <w:t xml:space="preserve"> given management's explicit pre-guidance that Q2 prints below the full-year range; </w:t>
      </w:r>
      <w:r>
        <w:rPr>
          <w:rFonts w:ascii="Calibri" w:hAnsi="Calibri"/>
          <w:b/>
          <w:color w:val="525866"/>
          <w:sz w:val="22"/>
        </w:rPr>
        <w:t>Operating FFO per share</w:t>
      </w:r>
      <w:r>
        <w:rPr>
          <w:rFonts w:ascii="Calibri" w:hAnsi="Calibri"/>
          <w:color w:val="525866"/>
          <w:sz w:val="22"/>
        </w:rPr>
        <w:t xml:space="preserve"> is the bigger swing factor, with the street at $1.15 vs. $1.16 actual last quarter — a modest sequential step-down that leaves room for a beat if expense recoveries and base rent growth hold.</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Full-Year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Operating FFO per Share ($)</w:t>
            </w:r>
          </w:p>
        </w:tc>
        <w:tc>
          <w:tcPr>
            <w:tcW w:type="dxa" w:w="1234"/>
          </w:tcPr>
          <w:p>
            <w:r>
              <w:rPr>
                <w:rFonts w:ascii="Calibri" w:hAnsi="Calibri"/>
                <w:sz w:val="22"/>
              </w:rPr>
              <w:t>$1.16</w:t>
            </w:r>
          </w:p>
        </w:tc>
        <w:tc>
          <w:tcPr>
            <w:tcW w:type="dxa" w:w="1234"/>
          </w:tcPr>
          <w:p>
            <w:r>
              <w:rPr>
                <w:rFonts w:ascii="Calibri" w:hAnsi="Calibri"/>
                <w:sz w:val="22"/>
              </w:rPr>
              <w:t>$1.10</w:t>
            </w:r>
          </w:p>
        </w:tc>
        <w:tc>
          <w:tcPr>
            <w:tcW w:type="dxa" w:w="1234"/>
          </w:tcPr>
          <w:p>
            <w:r>
              <w:rPr>
                <w:rFonts w:ascii="Calibri" w:hAnsi="Calibri"/>
                <w:sz w:val="22"/>
              </w:rPr>
              <w:t>$1.15</w:t>
            </w:r>
          </w:p>
        </w:tc>
        <w:tc>
          <w:tcPr>
            <w:tcW w:type="dxa" w:w="1234"/>
          </w:tcPr>
          <w:p>
            <w:r>
              <w:rPr>
                <w:rFonts w:ascii="Calibri" w:hAnsi="Calibri"/>
                <w:sz w:val="22"/>
              </w:rPr>
              <w:t>+4.5% YoY</w:t>
            </w:r>
          </w:p>
        </w:tc>
        <w:tc>
          <w:tcPr>
            <w:tcW w:type="dxa" w:w="1234"/>
          </w:tcPr>
          <w:p>
            <w:r>
              <w:rPr>
                <w:rFonts w:ascii="Calibri" w:hAnsi="Calibri"/>
                <w:sz w:val="22"/>
              </w:rPr>
              <w:t>+4.5% growth at midpoint</w:t>
            </w:r>
          </w:p>
        </w:tc>
        <w:tc>
          <w:tcPr>
            <w:tcW w:type="dxa" w:w="1234"/>
          </w:tcPr>
          <w:p>
            <w:r>
              <w:rPr>
                <w:rFonts w:ascii="Calibri" w:hAnsi="Calibri"/>
                <w:sz w:val="22"/>
              </w:rPr>
              <w:t>In line</w:t>
            </w:r>
          </w:p>
        </w:tc>
      </w:tr>
      <w:tr>
        <w:tc>
          <w:tcPr>
            <w:tcW w:type="dxa" w:w="1234"/>
          </w:tcPr>
          <w:p>
            <w:r>
              <w:rPr>
                <w:rFonts w:ascii="Calibri" w:hAnsi="Calibri"/>
                <w:sz w:val="22"/>
              </w:rPr>
              <w:t>Nareit FFO per Share - Diluted ($)</w:t>
            </w:r>
          </w:p>
        </w:tc>
        <w:tc>
          <w:tcPr>
            <w:tcW w:type="dxa" w:w="1234"/>
          </w:tcPr>
          <w:p>
            <w:r>
              <w:rPr>
                <w:rFonts w:ascii="Calibri" w:hAnsi="Calibri"/>
                <w:sz w:val="22"/>
              </w:rPr>
              <w:t>$1.20</w:t>
            </w:r>
          </w:p>
        </w:tc>
        <w:tc>
          <w:tcPr>
            <w:tcW w:type="dxa" w:w="1234"/>
          </w:tcPr>
          <w:p>
            <w:r>
              <w:rPr>
                <w:rFonts w:ascii="Calibri" w:hAnsi="Calibri"/>
                <w:sz w:val="22"/>
              </w:rPr>
              <w:t>$1.16</w:t>
            </w:r>
          </w:p>
        </w:tc>
        <w:tc>
          <w:tcPr>
            <w:tcW w:type="dxa" w:w="1234"/>
          </w:tcPr>
          <w:p>
            <w:r>
              <w:rPr>
                <w:rFonts w:ascii="Calibri" w:hAnsi="Calibri"/>
                <w:sz w:val="22"/>
              </w:rPr>
              <w:t>$1.21</w:t>
            </w:r>
          </w:p>
        </w:tc>
        <w:tc>
          <w:tcPr>
            <w:tcW w:type="dxa" w:w="1234"/>
          </w:tcPr>
          <w:p>
            <w:r>
              <w:rPr>
                <w:rFonts w:ascii="Calibri" w:hAnsi="Calibri"/>
                <w:sz w:val="22"/>
              </w:rPr>
              <w:t>+4.3% YoY</w:t>
            </w:r>
          </w:p>
        </w:tc>
        <w:tc>
          <w:tcPr>
            <w:tcW w:type="dxa" w:w="1234"/>
          </w:tcPr>
          <w:p>
            <w:r>
              <w:rPr>
                <w:rFonts w:ascii="Calibri" w:hAnsi="Calibri"/>
                <w:sz w:val="22"/>
              </w:rPr>
              <w:t>+4.5% growth at midpoint</w:t>
            </w:r>
          </w:p>
        </w:tc>
        <w:tc>
          <w:tcPr>
            <w:tcW w:type="dxa" w:w="1234"/>
          </w:tcPr>
          <w:p>
            <w:r>
              <w:rPr>
                <w:rFonts w:ascii="Calibri" w:hAnsi="Calibri"/>
                <w:sz w:val="22"/>
              </w:rPr>
              <w:t>In line</w:t>
            </w:r>
          </w:p>
        </w:tc>
      </w:tr>
      <w:tr>
        <w:tc>
          <w:tcPr>
            <w:tcW w:type="dxa" w:w="1234"/>
          </w:tcPr>
          <w:p>
            <w:r>
              <w:rPr>
                <w:rFonts w:ascii="Calibri" w:hAnsi="Calibri"/>
                <w:sz w:val="22"/>
              </w:rPr>
              <w:t>Same-Property NOI Growth (%)</w:t>
            </w:r>
          </w:p>
        </w:tc>
        <w:tc>
          <w:tcPr>
            <w:tcW w:type="dxa" w:w="1234"/>
          </w:tcPr>
          <w:p>
            <w:r>
              <w:rPr>
                <w:rFonts w:ascii="Calibri" w:hAnsi="Calibri"/>
                <w:sz w:val="22"/>
              </w:rPr>
              <w:t>4.4%</w:t>
            </w:r>
          </w:p>
        </w:tc>
        <w:tc>
          <w:tcPr>
            <w:tcW w:type="dxa" w:w="1234"/>
          </w:tcPr>
          <w:p>
            <w:r>
              <w:rPr>
                <w:rFonts w:ascii="Calibri" w:hAnsi="Calibri"/>
                <w:sz w:val="22"/>
              </w:rPr>
              <w:t>7.4%</w:t>
            </w:r>
          </w:p>
        </w:tc>
        <w:tc>
          <w:tcPr>
            <w:tcW w:type="dxa" w:w="1234"/>
          </w:tcPr>
          <w:p>
            <w:r>
              <w:rPr>
                <w:rFonts w:ascii="Calibri" w:hAnsi="Calibri"/>
                <w:sz w:val="22"/>
              </w:rPr>
              <w:t>~4.6%</w:t>
            </w:r>
          </w:p>
        </w:tc>
        <w:tc>
          <w:tcPr>
            <w:tcW w:type="dxa" w:w="1234"/>
          </w:tcPr>
          <w:p>
            <w:r>
              <w:rPr>
                <w:rFonts w:ascii="Calibri" w:hAnsi="Calibri"/>
                <w:sz w:val="22"/>
              </w:rPr>
              <w:t>-2.8 pp YoY (tough comp)</w:t>
            </w:r>
          </w:p>
        </w:tc>
        <w:tc>
          <w:tcPr>
            <w:tcW w:type="dxa" w:w="1234"/>
          </w:tcPr>
          <w:p>
            <w:r>
              <w:rPr>
                <w:rFonts w:ascii="Calibri" w:hAnsi="Calibri"/>
                <w:sz w:val="22"/>
              </w:rPr>
              <w:t>3.25%–3.75% (FY)</w:t>
            </w:r>
          </w:p>
        </w:tc>
        <w:tc>
          <w:tcPr>
            <w:tcW w:type="dxa" w:w="1234"/>
          </w:tcPr>
          <w:p>
            <w:r>
              <w:rPr>
                <w:rFonts w:ascii="Calibri" w:hAnsi="Calibri"/>
                <w:sz w:val="22"/>
              </w:rPr>
              <w:t>Above midpoint; mgmt guided Q2 below range</w:t>
            </w:r>
          </w:p>
        </w:tc>
      </w:tr>
      <w:tr>
        <w:tc>
          <w:tcPr>
            <w:tcW w:type="dxa" w:w="1234"/>
          </w:tcPr>
          <w:p>
            <w:r>
              <w:rPr>
                <w:rFonts w:ascii="Calibri" w:hAnsi="Calibri"/>
                <w:sz w:val="22"/>
              </w:rPr>
              <w:t>Total Revenue ($M)</w:t>
            </w:r>
          </w:p>
        </w:tc>
        <w:tc>
          <w:tcPr>
            <w:tcW w:type="dxa" w:w="1234"/>
          </w:tcPr>
          <w:p>
            <w:r>
              <w:rPr>
                <w:rFonts w:ascii="Calibri" w:hAnsi="Calibri"/>
                <w:sz w:val="22"/>
              </w:rPr>
              <w:t>$405.5M</w:t>
            </w:r>
          </w:p>
        </w:tc>
        <w:tc>
          <w:tcPr>
            <w:tcW w:type="dxa" w:w="1234"/>
          </w:tcPr>
          <w:p>
            <w:r>
              <w:rPr>
                <w:rFonts w:ascii="Calibri" w:hAnsi="Calibri"/>
                <w:sz w:val="22"/>
              </w:rPr>
              <w:t>$373.6M</w:t>
            </w:r>
          </w:p>
        </w:tc>
        <w:tc>
          <w:tcPr>
            <w:tcW w:type="dxa" w:w="1234"/>
          </w:tcPr>
          <w:p>
            <w:r>
              <w:rPr>
                <w:rFonts w:ascii="Calibri" w:hAnsi="Calibri"/>
                <w:sz w:val="22"/>
              </w:rPr>
              <w:t>$400.5M</w:t>
            </w:r>
          </w:p>
        </w:tc>
        <w:tc>
          <w:tcPr>
            <w:tcW w:type="dxa" w:w="1234"/>
          </w:tcPr>
          <w:p>
            <w:r>
              <w:rPr>
                <w:rFonts w:ascii="Calibri" w:hAnsi="Calibri"/>
                <w:sz w:val="22"/>
              </w:rPr>
              <w:t>+7.2% YoY</w:t>
            </w:r>
          </w:p>
        </w:tc>
        <w:tc>
          <w:tcPr>
            <w:tcW w:type="dxa" w:w="1234"/>
          </w:tcPr>
          <w:p>
            <w:r>
              <w:rPr>
                <w:rFonts w:ascii="Calibri" w:hAnsi="Calibri"/>
                <w:sz w:val="22"/>
              </w:rPr>
              <w:t>N/A (no explicit revenue guide)</w:t>
            </w:r>
          </w:p>
        </w:tc>
        <w:tc>
          <w:tcPr>
            <w:tcW w:type="dxa" w:w="1234"/>
          </w:tcPr>
          <w:p>
            <w:r>
              <w:rPr>
                <w:rFonts w:ascii="Calibri" w:hAnsi="Calibri"/>
                <w:sz w:val="22"/>
              </w:rPr>
              <w:t>N/A</w:t>
            </w:r>
          </w:p>
        </w:tc>
      </w:tr>
      <w:tr>
        <w:tc>
          <w:tcPr>
            <w:tcW w:type="dxa" w:w="1234"/>
          </w:tcPr>
          <w:p>
            <w:r>
              <w:rPr>
                <w:rFonts w:ascii="Calibri" w:hAnsi="Calibri"/>
                <w:sz w:val="22"/>
              </w:rPr>
              <w:t>Occupancy Rate (%)</w:t>
            </w:r>
          </w:p>
        </w:tc>
        <w:tc>
          <w:tcPr>
            <w:tcW w:type="dxa" w:w="1234"/>
          </w:tcPr>
          <w:p>
            <w:r>
              <w:rPr>
                <w:rFonts w:ascii="Calibri" w:hAnsi="Calibri"/>
                <w:sz w:val="22"/>
              </w:rPr>
              <w:t>96.2%</w:t>
            </w:r>
          </w:p>
        </w:tc>
        <w:tc>
          <w:tcPr>
            <w:tcW w:type="dxa" w:w="1234"/>
          </w:tcPr>
          <w:p>
            <w:r>
              <w:rPr>
                <w:rFonts w:ascii="Calibri" w:hAnsi="Calibri"/>
                <w:sz w:val="22"/>
              </w:rPr>
              <w:t>96.2%</w:t>
            </w:r>
          </w:p>
        </w:tc>
        <w:tc>
          <w:tcPr>
            <w:tcW w:type="dxa" w:w="1234"/>
          </w:tcPr>
          <w:p>
            <w:r>
              <w:rPr>
                <w:rFonts w:ascii="Calibri" w:hAnsi="Calibri"/>
                <w:sz w:val="22"/>
              </w:rPr>
              <w:t>~95.2%</w:t>
            </w:r>
          </w:p>
        </w:tc>
        <w:tc>
          <w:tcPr>
            <w:tcW w:type="dxa" w:w="1234"/>
          </w:tcPr>
          <w:p>
            <w:r>
              <w:rPr>
                <w:rFonts w:ascii="Calibri" w:hAnsi="Calibri"/>
                <w:sz w:val="22"/>
              </w:rPr>
              <w:t>Flat YoY</w:t>
            </w:r>
          </w:p>
        </w:tc>
        <w:tc>
          <w:tcPr>
            <w:tcW w:type="dxa" w:w="1234"/>
          </w:tcPr>
          <w:p>
            <w:r>
              <w:rPr>
                <w:rFonts w:ascii="Calibri" w:hAnsi="Calibri"/>
                <w:sz w:val="22"/>
              </w:rPr>
              <w:t>Continue to shrink leased-commenced gap</w:t>
            </w:r>
          </w:p>
        </w:tc>
        <w:tc>
          <w:tcPr>
            <w:tcW w:type="dxa" w:w="1234"/>
          </w:tcPr>
          <w:p>
            <w:r>
              <w:rPr>
                <w:rFonts w:ascii="Calibri" w:hAnsi="Calibri"/>
                <w:sz w:val="22"/>
              </w:rPr>
              <w:t>N/A</w:t>
            </w:r>
          </w:p>
        </w:tc>
      </w:tr>
      <w:tr>
        <w:tc>
          <w:tcPr>
            <w:tcW w:type="dxa" w:w="1234"/>
          </w:tcPr>
          <w:p>
            <w:r>
              <w:rPr>
                <w:rFonts w:ascii="Calibri" w:hAnsi="Calibri"/>
                <w:sz w:val="22"/>
              </w:rPr>
              <w:t>Cash Leasing Spread (%)</w:t>
            </w:r>
          </w:p>
        </w:tc>
        <w:tc>
          <w:tcPr>
            <w:tcW w:type="dxa" w:w="1234"/>
          </w:tcPr>
          <w:p>
            <w:r>
              <w:rPr>
                <w:rFonts w:ascii="Calibri" w:hAnsi="Calibri"/>
                <w:sz w:val="22"/>
              </w:rPr>
              <w:t>12.1%</w:t>
            </w:r>
          </w:p>
        </w:tc>
        <w:tc>
          <w:tcPr>
            <w:tcW w:type="dxa" w:w="1234"/>
          </w:tcPr>
          <w:p>
            <w:r>
              <w:rPr>
                <w:rFonts w:ascii="Calibri" w:hAnsi="Calibri"/>
                <w:sz w:val="22"/>
              </w:rPr>
              <w:t>10.0%</w:t>
            </w:r>
          </w:p>
        </w:tc>
        <w:tc>
          <w:tcPr>
            <w:tcW w:type="dxa" w:w="1234"/>
          </w:tcPr>
          <w:p>
            <w:r>
              <w:rPr>
                <w:rFonts w:ascii="Calibri" w:hAnsi="Calibri"/>
                <w:sz w:val="22"/>
              </w:rPr>
              <w:t>~11.2%</w:t>
            </w:r>
          </w:p>
        </w:tc>
        <w:tc>
          <w:tcPr>
            <w:tcW w:type="dxa" w:w="1234"/>
          </w:tcPr>
          <w:p>
            <w:r>
              <w:rPr>
                <w:rFonts w:ascii="Calibri" w:hAnsi="Calibri"/>
                <w:sz w:val="22"/>
              </w:rPr>
              <w:t>+1.2 pp YoY</w:t>
            </w:r>
          </w:p>
        </w:tc>
        <w:tc>
          <w:tcPr>
            <w:tcW w:type="dxa" w:w="1234"/>
          </w:tcPr>
          <w:p>
            <w:r>
              <w:rPr>
                <w:rFonts w:ascii="Calibri" w:hAnsi="Calibri"/>
                <w:sz w:val="22"/>
              </w:rPr>
              <w:t>No explicit quarterly guide</w:t>
            </w:r>
          </w:p>
        </w:tc>
        <w:tc>
          <w:tcPr>
            <w:tcW w:type="dxa" w:w="1234"/>
          </w:tcPr>
          <w:p>
            <w:r>
              <w:rPr>
                <w:rFonts w:ascii="Calibri" w:hAnsi="Calibri"/>
                <w:sz w:val="22"/>
              </w:rPr>
              <w:t>N/A</w:t>
            </w:r>
          </w:p>
        </w:tc>
      </w:tr>
    </w:tbl>
    <w:p>
      <w:r>
        <w:rPr>
          <w:rFonts w:ascii="Calibri" w:hAnsi="Calibri"/>
          <w:i/>
          <w:color w:val="525866"/>
          <w:sz w:val="22"/>
        </w:rPr>
        <w:t>Sources: Visible Alpha Consensus and Actuals Data</w:t>
      </w:r>
      <w:r>
        <w:rPr>
          <w:rFonts w:ascii="Calibri" w:hAnsi="Calibri"/>
          <w:i/>
          <w:color w:val="525866"/>
          <w:sz w:val="22"/>
        </w:rPr>
        <w:t xml:space="preserve"> for all consensus estimates and actuals. Q1 2026 earnings call transcript (April 30, 2026) for guidance figures.</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Operating FFO per Share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$1.16</w:t>
            </w:r>
          </w:p>
        </w:tc>
        <w:tc>
          <w:tcPr>
            <w:tcW w:type="dxa" w:w="1728"/>
          </w:tcPr>
          <w:p>
            <w:r>
              <w:rPr>
                <w:rFonts w:ascii="Calibri" w:hAnsi="Calibri"/>
                <w:sz w:val="22"/>
              </w:rPr>
              <w:t>$1.15</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$1.12</w:t>
            </w:r>
          </w:p>
        </w:tc>
        <w:tc>
          <w:tcPr>
            <w:tcW w:type="dxa" w:w="1728"/>
          </w:tcPr>
          <w:p>
            <w:r>
              <w:rPr>
                <w:rFonts w:ascii="Calibri" w:hAnsi="Calibri"/>
                <w:sz w:val="22"/>
              </w:rPr>
              <w:t>$1.11</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$1.09</w:t>
            </w:r>
          </w:p>
        </w:tc>
        <w:tc>
          <w:tcPr>
            <w:tcW w:type="dxa" w:w="1728"/>
          </w:tcPr>
          <w:p>
            <w:r>
              <w:rPr>
                <w:rFonts w:ascii="Calibri" w:hAnsi="Calibri"/>
                <w:sz w:val="22"/>
              </w:rPr>
              <w:t>$1.09</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$1.10</w:t>
            </w:r>
          </w:p>
        </w:tc>
        <w:tc>
          <w:tcPr>
            <w:tcW w:type="dxa" w:w="1728"/>
          </w:tcPr>
          <w:p>
            <w:r>
              <w:rPr>
                <w:rFonts w:ascii="Calibri" w:hAnsi="Calibri"/>
                <w:sz w:val="22"/>
              </w:rPr>
              <w:t>$1.07</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$1.09</w:t>
            </w:r>
          </w:p>
        </w:tc>
        <w:tc>
          <w:tcPr>
            <w:tcW w:type="dxa" w:w="1728"/>
          </w:tcPr>
          <w:p>
            <w:r>
              <w:rPr>
                <w:rFonts w:ascii="Calibri" w:hAnsi="Calibri"/>
                <w:sz w:val="22"/>
              </w:rPr>
              <w:t>$1.08</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$1.04</w:t>
            </w:r>
          </w:p>
        </w:tc>
        <w:tc>
          <w:tcPr>
            <w:tcW w:type="dxa" w:w="1728"/>
          </w:tcPr>
          <w:p>
            <w:r>
              <w:rPr>
                <w:rFonts w:ascii="Calibri" w:hAnsi="Calibri"/>
                <w:sz w:val="22"/>
              </w:rPr>
              <w:t>$1.04</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$1.03</w:t>
            </w:r>
          </w:p>
        </w:tc>
        <w:tc>
          <w:tcPr>
            <w:tcW w:type="dxa" w:w="1728"/>
          </w:tcPr>
          <w:p>
            <w:r>
              <w:rPr>
                <w:rFonts w:ascii="Calibri" w:hAnsi="Calibri"/>
                <w:sz w:val="22"/>
              </w:rPr>
              <w:t>$1.01</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$1.02</w:t>
            </w:r>
          </w:p>
        </w:tc>
        <w:tc>
          <w:tcPr>
            <w:tcW w:type="dxa" w:w="1728"/>
          </w:tcPr>
          <w:p>
            <w:r>
              <w:rPr>
                <w:rFonts w:ascii="Calibri" w:hAnsi="Calibri"/>
                <w:sz w:val="22"/>
              </w:rPr>
              <w:t>$0.99</w:t>
            </w:r>
          </w:p>
        </w:tc>
        <w:tc>
          <w:tcPr>
            <w:tcW w:type="dxa" w:w="1728"/>
          </w:tcPr>
          <w:p>
            <w:r>
              <w:rPr>
                <w:rFonts w:ascii="Calibri" w:hAnsi="Calibri"/>
                <w:sz w:val="22"/>
              </w:rPr>
              <w:t>+3.0%</w:t>
            </w:r>
          </w:p>
        </w:tc>
        <w:tc>
          <w:tcPr>
            <w:tcW w:type="dxa" w:w="1728"/>
          </w:tcPr>
          <w:p>
            <w:r>
              <w:rPr>
                <w:rFonts w:ascii="Calibri" w:hAnsi="Calibri"/>
                <w:b/>
                <w:color w:val="30A46C"/>
                <w:sz w:val="22"/>
              </w:rPr>
              <w:t>Beat</w:t>
            </w:r>
          </w:p>
        </w:tc>
      </w:tr>
    </w:tbl>
    <w:p>
      <w:pPr>
        <w:pStyle w:val="Heading4"/>
      </w:pPr>
      <w:r>
        <w:rPr>
          <w:rFonts w:ascii="Calibri" w:hAnsi="Calibri"/>
          <w:b/>
          <w:color w:val="3B4259"/>
          <w:sz w:val="22"/>
        </w:rPr>
        <w:t>Same-Property NOI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4.4%</w:t>
            </w:r>
          </w:p>
        </w:tc>
        <w:tc>
          <w:tcPr>
            <w:tcW w:type="dxa" w:w="1728"/>
          </w:tcPr>
          <w:p>
            <w:r>
              <w:rPr>
                <w:rFonts w:ascii="Calibri" w:hAnsi="Calibri"/>
                <w:sz w:val="22"/>
              </w:rPr>
              <w:t>5.0%</w:t>
            </w:r>
          </w:p>
        </w:tc>
        <w:tc>
          <w:tcPr>
            <w:tcW w:type="dxa" w:w="1728"/>
          </w:tcPr>
          <w:p>
            <w:r>
              <w:rPr>
                <w:rFonts w:ascii="Calibri" w:hAnsi="Calibri"/>
                <w:sz w:val="22"/>
              </w:rPr>
              <w:t>-0.6 pp</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4.7%</w:t>
            </w:r>
          </w:p>
        </w:tc>
        <w:tc>
          <w:tcPr>
            <w:tcW w:type="dxa" w:w="1728"/>
          </w:tcPr>
          <w:p>
            <w:r>
              <w:rPr>
                <w:rFonts w:ascii="Calibri" w:hAnsi="Calibri"/>
                <w:sz w:val="22"/>
              </w:rPr>
              <w:t>5.5%</w:t>
            </w:r>
          </w:p>
        </w:tc>
        <w:tc>
          <w:tcPr>
            <w:tcW w:type="dxa" w:w="1728"/>
          </w:tcPr>
          <w:p>
            <w:r>
              <w:rPr>
                <w:rFonts w:ascii="Calibri" w:hAnsi="Calibri"/>
                <w:sz w:val="22"/>
              </w:rPr>
              <w:t>-0.8 pp</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4.8%</w:t>
            </w:r>
          </w:p>
        </w:tc>
        <w:tc>
          <w:tcPr>
            <w:tcW w:type="dxa" w:w="1728"/>
          </w:tcPr>
          <w:p>
            <w:r>
              <w:rPr>
                <w:rFonts w:ascii="Calibri" w:hAnsi="Calibri"/>
                <w:sz w:val="22"/>
              </w:rPr>
              <w:t>4.3%</w:t>
            </w:r>
          </w:p>
        </w:tc>
        <w:tc>
          <w:tcPr>
            <w:tcW w:type="dxa" w:w="1728"/>
          </w:tcPr>
          <w:p>
            <w:r>
              <w:rPr>
                <w:rFonts w:ascii="Calibri" w:hAnsi="Calibri"/>
                <w:sz w:val="22"/>
              </w:rPr>
              <w:t>+0.5 pp</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7.4%</w:t>
            </w:r>
          </w:p>
        </w:tc>
        <w:tc>
          <w:tcPr>
            <w:tcW w:type="dxa" w:w="1728"/>
          </w:tcPr>
          <w:p>
            <w:r>
              <w:rPr>
                <w:rFonts w:ascii="Calibri" w:hAnsi="Calibri"/>
                <w:sz w:val="22"/>
              </w:rPr>
              <w:t>5.4%</w:t>
            </w:r>
          </w:p>
        </w:tc>
        <w:tc>
          <w:tcPr>
            <w:tcW w:type="dxa" w:w="1728"/>
          </w:tcPr>
          <w:p>
            <w:r>
              <w:rPr>
                <w:rFonts w:ascii="Calibri" w:hAnsi="Calibri"/>
                <w:sz w:val="22"/>
              </w:rPr>
              <w:t>+2.0 pp</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4.3%</w:t>
            </w:r>
          </w:p>
        </w:tc>
        <w:tc>
          <w:tcPr>
            <w:tcW w:type="dxa" w:w="1728"/>
          </w:tcPr>
          <w:p>
            <w:r>
              <w:rPr>
                <w:rFonts w:ascii="Calibri" w:hAnsi="Calibri"/>
                <w:sz w:val="22"/>
              </w:rPr>
              <w:t>3.0%</w:t>
            </w:r>
          </w:p>
        </w:tc>
        <w:tc>
          <w:tcPr>
            <w:tcW w:type="dxa" w:w="1728"/>
          </w:tcPr>
          <w:p>
            <w:r>
              <w:rPr>
                <w:rFonts w:ascii="Calibri" w:hAnsi="Calibri"/>
                <w:sz w:val="22"/>
              </w:rPr>
              <w:t>+1.3 pp</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4.0%</w:t>
            </w:r>
          </w:p>
        </w:tc>
        <w:tc>
          <w:tcPr>
            <w:tcW w:type="dxa" w:w="1728"/>
          </w:tcPr>
          <w:p>
            <w:r>
              <w:rPr>
                <w:rFonts w:ascii="Calibri" w:hAnsi="Calibri"/>
                <w:sz w:val="22"/>
              </w:rPr>
              <w:t>4.9%</w:t>
            </w:r>
          </w:p>
        </w:tc>
        <w:tc>
          <w:tcPr>
            <w:tcW w:type="dxa" w:w="1728"/>
          </w:tcPr>
          <w:p>
            <w:r>
              <w:rPr>
                <w:rFonts w:ascii="Calibri" w:hAnsi="Calibri"/>
                <w:sz w:val="22"/>
              </w:rPr>
              <w:t>-0.9 pp</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4.9%</w:t>
            </w:r>
          </w:p>
        </w:tc>
        <w:tc>
          <w:tcPr>
            <w:tcW w:type="dxa" w:w="1728"/>
          </w:tcPr>
          <w:p>
            <w:r>
              <w:rPr>
                <w:rFonts w:ascii="Calibri" w:hAnsi="Calibri"/>
                <w:sz w:val="22"/>
              </w:rPr>
              <w:t>9.5%</w:t>
            </w:r>
          </w:p>
        </w:tc>
        <w:tc>
          <w:tcPr>
            <w:tcW w:type="dxa" w:w="1728"/>
          </w:tcPr>
          <w:p>
            <w:r>
              <w:rPr>
                <w:rFonts w:ascii="Calibri" w:hAnsi="Calibri"/>
                <w:sz w:val="22"/>
              </w:rPr>
              <w:t>-4.6 pp</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3.3%</w:t>
            </w:r>
          </w:p>
        </w:tc>
        <w:tc>
          <w:tcPr>
            <w:tcW w:type="dxa" w:w="1728"/>
          </w:tcPr>
          <w:p>
            <w:r>
              <w:rPr>
                <w:rFonts w:ascii="Calibri" w:hAnsi="Calibri"/>
                <w:sz w:val="22"/>
              </w:rPr>
              <w:t>14.3%</w:t>
            </w:r>
          </w:p>
        </w:tc>
        <w:tc>
          <w:tcPr>
            <w:tcW w:type="dxa" w:w="1728"/>
          </w:tcPr>
          <w:p>
            <w:r>
              <w:rPr>
                <w:rFonts w:ascii="Calibri" w:hAnsi="Calibri"/>
                <w:sz w:val="22"/>
              </w:rPr>
              <w:t>-11.0 pp</w:t>
            </w:r>
          </w:p>
        </w:tc>
        <w:tc>
          <w:tcPr>
            <w:tcW w:type="dxa" w:w="1728"/>
          </w:tcPr>
          <w:p>
            <w:r>
              <w:rPr>
                <w:rFonts w:ascii="Calibri" w:hAnsi="Calibri"/>
                <w:b/>
                <w:color w:val="E5484D"/>
                <w:sz w:val="22"/>
              </w:rPr>
              <w:t>Miss</w:t>
            </w:r>
          </w:p>
        </w:tc>
      </w:tr>
    </w:tbl>
    <w:p>
      <w:r>
        <w:rPr>
          <w:rFonts w:ascii="Calibri" w:hAnsi="Calibri"/>
          <w:b/>
          <w:color w:val="525866"/>
          <w:sz w:val="22"/>
        </w:rPr>
        <w:t xml:space="preserve">Note: </w:t>
      </w:r>
      <w:r>
        <w:rPr>
          <w:rFonts w:ascii="Calibri" w:hAnsi="Calibri"/>
          <w:i/>
          <w:color w:val="525866"/>
          <w:sz w:val="22"/>
        </w:rPr>
        <w:t>Operating FFO per share has beaten or matched consensus in 6 of the last 8 quarters, demonstrating consistent execution. Same-property NOI growth consensus has been volatile due to stale or wide estimates (particularly in 2024); the Q2 2025 beat of +7.4% vs. ~5.4% consensus creates the tough comp that management pre-flagged for Q2 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w:t>
      </w:r>
      <w:r>
        <w:rPr>
          <w:rFonts w:ascii="Calibri" w:hAnsi="Calibri"/>
          <w:b/>
          <w:color w:val="525866"/>
          <w:sz w:val="22"/>
        </w:rPr>
        <w:t>unchanged since the Q1 2026 earnings call</w:t>
      </w:r>
      <w:r>
        <w:rPr>
          <w:rFonts w:ascii="Calibri" w:hAnsi="Calibri"/>
          <w:color w:val="525866"/>
          <w:sz w:val="22"/>
        </w:rPr>
        <w:t xml:space="preserve"> — all key metrics reaffirmed at the same ranges; the only post-earnings update was a May 18 investor presentation refresh (no new numbers disclosed), and management's tone remains highly confident with no signs of caution on the full-year outlook.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Same-Property NOI Growth (FY 2026)</w:t>
            </w:r>
          </w:p>
        </w:tc>
        <w:tc>
          <w:tcPr>
            <w:tcW w:type="dxa" w:w="1728"/>
          </w:tcPr>
          <w:p>
            <w:r>
              <w:rPr>
                <w:rFonts w:ascii="Calibri" w:hAnsi="Calibri"/>
                <w:sz w:val="22"/>
              </w:rPr>
              <w:t>3.25%–3.75%</w:t>
            </w:r>
          </w:p>
        </w:tc>
        <w:tc>
          <w:tcPr>
            <w:tcW w:type="dxa" w:w="1728"/>
          </w:tcPr>
          <w:p>
            <w:r>
              <w:rPr>
                <w:rFonts w:ascii="Calibri" w:hAnsi="Calibri"/>
                <w:sz w:val="22"/>
              </w:rPr>
              <w:t>—</w:t>
            </w:r>
          </w:p>
        </w:tc>
        <w:tc>
          <w:tcPr>
            <w:tcW w:type="dxa" w:w="1728"/>
          </w:tcPr>
          <w:p>
            <w:r>
              <w:rPr>
                <w:rFonts w:ascii="Calibri" w:hAnsi="Calibri"/>
                <w:sz w:val="22"/>
              </w:rPr>
              <w:t>~4.3% (FY consensus)</w:t>
            </w:r>
          </w:p>
        </w:tc>
        <w:tc>
          <w:tcPr>
            <w:tcW w:type="dxa" w:w="1728"/>
          </w:tcPr>
          <w:p>
            <w:r>
              <w:rPr>
                <w:rFonts w:ascii="Calibri" w:hAnsi="Calibri"/>
                <w:sz w:val="22"/>
              </w:rPr>
              <w:t>Unchanged; Q2 guided below range due to tough CAM comp; Q1 was above range</w:t>
            </w:r>
          </w:p>
        </w:tc>
      </w:tr>
      <w:tr>
        <w:tc>
          <w:tcPr>
            <w:tcW w:type="dxa" w:w="1728"/>
          </w:tcPr>
          <w:p>
            <w:r>
              <w:rPr>
                <w:rFonts w:ascii="Calibri" w:hAnsi="Calibri"/>
                <w:sz w:val="22"/>
              </w:rPr>
              <w:t>Nareit FFO per Share Growth (FY 2026)</w:t>
            </w:r>
          </w:p>
        </w:tc>
        <w:tc>
          <w:tcPr>
            <w:tcW w:type="dxa" w:w="1728"/>
          </w:tcPr>
          <w:p>
            <w:r>
              <w:rPr>
                <w:rFonts w:ascii="Calibri" w:hAnsi="Calibri"/>
                <w:sz w:val="22"/>
              </w:rPr>
              <w:t>+4.5% at midpoint</w:t>
            </w:r>
          </w:p>
        </w:tc>
        <w:tc>
          <w:tcPr>
            <w:tcW w:type="dxa" w:w="1728"/>
          </w:tcPr>
          <w:p>
            <w:r>
              <w:rPr>
                <w:rFonts w:ascii="Calibri" w:hAnsi="Calibri"/>
                <w:sz w:val="22"/>
              </w:rPr>
              <w:t>—</w:t>
            </w:r>
          </w:p>
        </w:tc>
        <w:tc>
          <w:tcPr>
            <w:tcW w:type="dxa" w:w="1728"/>
          </w:tcPr>
          <w:p>
            <w:r>
              <w:rPr>
                <w:rFonts w:ascii="Calibri" w:hAnsi="Calibri"/>
                <w:sz w:val="22"/>
              </w:rPr>
              <w:t>$4.86 FY consensus</w:t>
            </w:r>
          </w:p>
        </w:tc>
        <w:tc>
          <w:tcPr>
            <w:tcW w:type="dxa" w:w="1728"/>
          </w:tcPr>
          <w:p>
            <w:r>
              <w:rPr>
                <w:rFonts w:ascii="Calibri" w:hAnsi="Calibri"/>
                <w:sz w:val="22"/>
              </w:rPr>
              <w:t>Unchanged; consensus tracking in line with guidance midpoint</w:t>
            </w:r>
          </w:p>
        </w:tc>
      </w:tr>
      <w:tr>
        <w:tc>
          <w:tcPr>
            <w:tcW w:type="dxa" w:w="1728"/>
          </w:tcPr>
          <w:p>
            <w:r>
              <w:rPr>
                <w:rFonts w:ascii="Calibri" w:hAnsi="Calibri"/>
                <w:sz w:val="22"/>
              </w:rPr>
              <w:t>Core Operating Earnings Growth (FY 2026)</w:t>
            </w:r>
          </w:p>
        </w:tc>
        <w:tc>
          <w:tcPr>
            <w:tcW w:type="dxa" w:w="1728"/>
          </w:tcPr>
          <w:p>
            <w:r>
              <w:rPr>
                <w:rFonts w:ascii="Calibri" w:hAnsi="Calibri"/>
                <w:sz w:val="22"/>
              </w:rPr>
              <w:t>+4.5% at midpoint</w:t>
            </w:r>
          </w:p>
        </w:tc>
        <w:tc>
          <w:tcPr>
            <w:tcW w:type="dxa" w:w="1728"/>
          </w:tcPr>
          <w:p>
            <w:r>
              <w:rPr>
                <w:rFonts w:ascii="Calibri" w:hAnsi="Calibri"/>
                <w:sz w:val="22"/>
              </w:rPr>
              <w:t>—</w:t>
            </w:r>
          </w:p>
        </w:tc>
        <w:tc>
          <w:tcPr>
            <w:tcW w:type="dxa" w:w="1728"/>
          </w:tcPr>
          <w:p>
            <w:r>
              <w:rPr>
                <w:rFonts w:ascii="Calibri" w:hAnsi="Calibri"/>
                <w:sz w:val="22"/>
              </w:rPr>
              <w:t>$4.64 FY consensus (Operating FFO)</w:t>
            </w:r>
          </w:p>
        </w:tc>
        <w:tc>
          <w:tcPr>
            <w:tcW w:type="dxa" w:w="1728"/>
          </w:tcPr>
          <w:p>
            <w:r>
              <w:rPr>
                <w:rFonts w:ascii="Calibri" w:hAnsi="Calibri"/>
                <w:sz w:val="22"/>
              </w:rPr>
              <w:t>Unchanged; management highlighted this as the cleanest cash flow metric</w:t>
            </w:r>
          </w:p>
        </w:tc>
      </w:tr>
      <w:tr>
        <w:tc>
          <w:tcPr>
            <w:tcW w:type="dxa" w:w="1728"/>
          </w:tcPr>
          <w:p>
            <w:r>
              <w:rPr>
                <w:rFonts w:ascii="Calibri" w:hAnsi="Calibri"/>
                <w:sz w:val="22"/>
              </w:rPr>
              <w:t>Total NOI Growth (FY 2026)</w:t>
            </w:r>
          </w:p>
        </w:tc>
        <w:tc>
          <w:tcPr>
            <w:tcW w:type="dxa" w:w="1728"/>
          </w:tcPr>
          <w:p>
            <w:r>
              <w:rPr>
                <w:rFonts w:ascii="Calibri" w:hAnsi="Calibri"/>
                <w:sz w:val="22"/>
              </w:rPr>
              <w:t>North of 6%</w:t>
            </w:r>
          </w:p>
        </w:tc>
        <w:tc>
          <w:tcPr>
            <w:tcW w:type="dxa" w:w="1728"/>
          </w:tcPr>
          <w:p>
            <w:r>
              <w:rPr>
                <w:rFonts w:ascii="Calibri" w:hAnsi="Calibri"/>
                <w:sz w:val="22"/>
              </w:rPr>
              <w:t>—</w:t>
            </w:r>
          </w:p>
        </w:tc>
        <w:tc>
          <w:tcPr>
            <w:tcW w:type="dxa" w:w="1728"/>
          </w:tcPr>
          <w:p>
            <w:r>
              <w:rPr>
                <w:rFonts w:ascii="Calibri" w:hAnsi="Calibri"/>
                <w:sz w:val="22"/>
              </w:rPr>
              <w:t>N/A (not directly tracked in VA)</w:t>
            </w:r>
          </w:p>
        </w:tc>
        <w:tc>
          <w:tcPr>
            <w:tcW w:type="dxa" w:w="1728"/>
          </w:tcPr>
          <w:p>
            <w:r>
              <w:rPr>
                <w:rFonts w:ascii="Calibri" w:hAnsi="Calibri"/>
                <w:sz w:val="22"/>
              </w:rPr>
              <w:t>Unchanged; driven by ground-up development deliveries and 2025 acquisitions</w:t>
            </w:r>
          </w:p>
        </w:tc>
      </w:tr>
      <w:tr>
        <w:tc>
          <w:tcPr>
            <w:tcW w:type="dxa" w:w="1728"/>
          </w:tcPr>
          <w:p>
            <w:r>
              <w:rPr>
                <w:rFonts w:ascii="Calibri" w:hAnsi="Calibri"/>
                <w:sz w:val="22"/>
              </w:rPr>
              <w:t>Development &amp; Redevelopment Spend (FY 2026)</w:t>
            </w:r>
          </w:p>
        </w:tc>
        <w:tc>
          <w:tcPr>
            <w:tcW w:type="dxa" w:w="1728"/>
          </w:tcPr>
          <w:p>
            <w:r>
              <w:rPr>
                <w:rFonts w:ascii="Calibri" w:hAnsi="Calibri"/>
                <w:sz w:val="22"/>
              </w:rPr>
              <w:t>~$325M (raised from prior guide; ~2/3 ground-up, ~1/3 redevelopment)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Q1 earnings; higher starts expected, back-end loaded; pipeline &gt;$600M at blended yields &gt;9%</w:t>
            </w:r>
          </w:p>
        </w:tc>
      </w:tr>
      <w:tr>
        <w:tc>
          <w:tcPr>
            <w:tcW w:type="dxa" w:w="1728"/>
          </w:tcPr>
          <w:p>
            <w:r>
              <w:rPr>
                <w:rFonts w:ascii="Calibri" w:hAnsi="Calibri"/>
                <w:sz w:val="22"/>
              </w:rPr>
              <w:t>Non-Cash Revenue (FY 2026)</w:t>
            </w:r>
          </w:p>
        </w:tc>
        <w:tc>
          <w:tcPr>
            <w:tcW w:type="dxa" w:w="1728"/>
          </w:tcPr>
          <w:p>
            <w:r>
              <w:rPr>
                <w:rFonts w:ascii="Calibri" w:hAnsi="Calibri"/>
                <w:sz w:val="22"/>
              </w:rPr>
              <w:t>$51M for the year (uneven by nature)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Q1 was above pro-rata due to timing; Q2 expected to normalize</w:t>
            </w:r>
          </w:p>
        </w:tc>
      </w:tr>
      <w:tr>
        <w:tc>
          <w:tcPr>
            <w:tcW w:type="dxa" w:w="1728"/>
          </w:tcPr>
          <w:p>
            <w:r>
              <w:rPr>
                <w:rFonts w:ascii="Calibri" w:hAnsi="Calibri"/>
                <w:sz w:val="22"/>
              </w:rPr>
              <w:t>Uncollectible Lease Income (FY 2026)</w:t>
            </w:r>
          </w:p>
        </w:tc>
        <w:tc>
          <w:tcPr>
            <w:tcW w:type="dxa" w:w="1728"/>
          </w:tcPr>
          <w:p>
            <w:r>
              <w:rPr>
                <w:rFonts w:ascii="Calibri" w:hAnsi="Calibri"/>
                <w:sz w:val="22"/>
              </w:rPr>
              <w:t>Below historical average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one tenant moved to cash basis in Q1; ongoing bankruptcies cited as uncertain</w:t>
            </w:r>
          </w:p>
        </w:tc>
      </w:tr>
    </w:tbl>
    <w:p>
      <w:r>
        <w:rPr>
          <w:rFonts w:ascii="Calibri" w:hAnsi="Calibri"/>
          <w:i/>
          <w:color w:val="525866"/>
          <w:sz w:val="22"/>
        </w:rPr>
        <w:t>Source: Q1 2026 Earnings Call Transcript (April 30, 2026); May 18, 2026 8-K (investor presentation update — no new guidance disclosed). Consensus from Visible Alpha.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broadly stable to slightly lower</w:t>
      </w:r>
      <w:r>
        <w:rPr>
          <w:rFonts w:ascii="Calibri" w:hAnsi="Calibri"/>
          <w:color w:val="525866"/>
          <w:sz w:val="22"/>
        </w:rPr>
        <w:t xml:space="preserve"> since the Q1 print — Q2 2026 same-property NOI growth consensus has drifted down ~50 bps from the post-Q1 baseline (5.16% → 4.64%), consistent with management's explicit pre-guidance that Q2 prints below the full-year range; </w:t>
      </w:r>
      <w:r>
        <w:rPr>
          <w:rFonts w:ascii="Calibri" w:hAnsi="Calibri"/>
          <w:b/>
          <w:color w:val="525866"/>
          <w:sz w:val="22"/>
        </w:rPr>
        <w:t>Operating FFO per share estimates are essentially flat</w:t>
      </w:r>
      <w:r>
        <w:rPr>
          <w:rFonts w:ascii="Calibri" w:hAnsi="Calibri"/>
          <w:color w:val="525866"/>
          <w:sz w:val="22"/>
        </w:rPr>
        <w:t>, suggesting the street is tracking guidance rather than diverging, and the gap between consensus and guidance midpoint is not a meaningful risk or cushion.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FFO/Share (Q2 2026)</w:t>
            </w:r>
          </w:p>
        </w:tc>
        <w:tc>
          <w:tcPr>
            <w:tcW w:type="dxa" w:w="1080"/>
          </w:tcPr>
          <w:p>
            <w:r>
              <w:rPr>
                <w:rFonts w:ascii="Calibri" w:hAnsi="Calibri"/>
                <w:sz w:val="22"/>
              </w:rPr>
              <w:t>$1.14</w:t>
            </w:r>
          </w:p>
        </w:tc>
        <w:tc>
          <w:tcPr>
            <w:tcW w:type="dxa" w:w="1080"/>
          </w:tcPr>
          <w:p>
            <w:r>
              <w:rPr>
                <w:rFonts w:ascii="Calibri" w:hAnsi="Calibri"/>
                <w:sz w:val="22"/>
              </w:rPr>
              <w:t>$1.15</w:t>
            </w:r>
          </w:p>
        </w:tc>
        <w:tc>
          <w:tcPr>
            <w:tcW w:type="dxa" w:w="1080"/>
          </w:tcPr>
          <w:p>
            <w:r>
              <w:rPr>
                <w:rFonts w:ascii="Calibri" w:hAnsi="Calibri"/>
                <w:sz w:val="22"/>
              </w:rPr>
              <w:t>+0.9%</w:t>
            </w:r>
          </w:p>
        </w:tc>
        <w:tc>
          <w:tcPr>
            <w:tcW w:type="dxa" w:w="1080"/>
          </w:tcPr>
          <w:p>
            <w:r>
              <w:rPr>
                <w:rFonts w:ascii="Calibri" w:hAnsi="Calibri"/>
                <w:sz w:val="22"/>
              </w:rPr>
              <w:t>+4.5%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Operating FFO/Share (FY 2026)</w:t>
            </w:r>
          </w:p>
        </w:tc>
        <w:tc>
          <w:tcPr>
            <w:tcW w:type="dxa" w:w="1080"/>
          </w:tcPr>
          <w:p>
            <w:r>
              <w:rPr>
                <w:rFonts w:ascii="Calibri" w:hAnsi="Calibri"/>
                <w:sz w:val="22"/>
              </w:rPr>
              <w:t>$4.62</w:t>
            </w:r>
          </w:p>
        </w:tc>
        <w:tc>
          <w:tcPr>
            <w:tcW w:type="dxa" w:w="1080"/>
          </w:tcPr>
          <w:p>
            <w:r>
              <w:rPr>
                <w:rFonts w:ascii="Calibri" w:hAnsi="Calibri"/>
                <w:sz w:val="22"/>
              </w:rPr>
              <w:t>$4.64</w:t>
            </w:r>
          </w:p>
        </w:tc>
        <w:tc>
          <w:tcPr>
            <w:tcW w:type="dxa" w:w="1080"/>
          </w:tcPr>
          <w:p>
            <w:r>
              <w:rPr>
                <w:rFonts w:ascii="Calibri" w:hAnsi="Calibri"/>
                <w:sz w:val="22"/>
              </w:rPr>
              <w:t>+0.4%</w:t>
            </w:r>
          </w:p>
        </w:tc>
        <w:tc>
          <w:tcPr>
            <w:tcW w:type="dxa" w:w="1080"/>
          </w:tcPr>
          <w:p>
            <w:r>
              <w:rPr>
                <w:rFonts w:ascii="Calibri" w:hAnsi="Calibri"/>
                <w:sz w:val="22"/>
              </w:rPr>
              <w:t>+4.5%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Nareit FFO/Share (Q2 2026)</w:t>
            </w:r>
          </w:p>
        </w:tc>
        <w:tc>
          <w:tcPr>
            <w:tcW w:type="dxa" w:w="1080"/>
          </w:tcPr>
          <w:p>
            <w:r>
              <w:rPr>
                <w:rFonts w:ascii="Calibri" w:hAnsi="Calibri"/>
                <w:sz w:val="22"/>
              </w:rPr>
              <w:t>$1.21</w:t>
            </w:r>
          </w:p>
        </w:tc>
        <w:tc>
          <w:tcPr>
            <w:tcW w:type="dxa" w:w="1080"/>
          </w:tcPr>
          <w:p>
            <w:r>
              <w:rPr>
                <w:rFonts w:ascii="Calibri" w:hAnsi="Calibri"/>
                <w:sz w:val="22"/>
              </w:rPr>
              <w:t>$1.21</w:t>
            </w:r>
          </w:p>
        </w:tc>
        <w:tc>
          <w:tcPr>
            <w:tcW w:type="dxa" w:w="1080"/>
          </w:tcPr>
          <w:p>
            <w:r>
              <w:rPr>
                <w:rFonts w:ascii="Calibri" w:hAnsi="Calibri"/>
                <w:sz w:val="22"/>
              </w:rPr>
              <w:t>0.0%</w:t>
            </w:r>
          </w:p>
        </w:tc>
        <w:tc>
          <w:tcPr>
            <w:tcW w:type="dxa" w:w="1080"/>
          </w:tcPr>
          <w:p>
            <w:r>
              <w:rPr>
                <w:rFonts w:ascii="Calibri" w:hAnsi="Calibri"/>
                <w:sz w:val="22"/>
              </w:rPr>
              <w:t>+4.5%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Nareit FFO/Share (FY 2026)</w:t>
            </w:r>
          </w:p>
        </w:tc>
        <w:tc>
          <w:tcPr>
            <w:tcW w:type="dxa" w:w="1080"/>
          </w:tcPr>
          <w:p>
            <w:r>
              <w:rPr>
                <w:rFonts w:ascii="Calibri" w:hAnsi="Calibri"/>
                <w:sz w:val="22"/>
              </w:rPr>
              <w:t>$4.86</w:t>
            </w:r>
          </w:p>
        </w:tc>
        <w:tc>
          <w:tcPr>
            <w:tcW w:type="dxa" w:w="1080"/>
          </w:tcPr>
          <w:p>
            <w:r>
              <w:rPr>
                <w:rFonts w:ascii="Calibri" w:hAnsi="Calibri"/>
                <w:sz w:val="22"/>
              </w:rPr>
              <w:t>$4.86</w:t>
            </w:r>
          </w:p>
        </w:tc>
        <w:tc>
          <w:tcPr>
            <w:tcW w:type="dxa" w:w="1080"/>
          </w:tcPr>
          <w:p>
            <w:r>
              <w:rPr>
                <w:rFonts w:ascii="Calibri" w:hAnsi="Calibri"/>
                <w:sz w:val="22"/>
              </w:rPr>
              <w:t>0.0%</w:t>
            </w:r>
          </w:p>
        </w:tc>
        <w:tc>
          <w:tcPr>
            <w:tcW w:type="dxa" w:w="1080"/>
          </w:tcPr>
          <w:p>
            <w:r>
              <w:rPr>
                <w:rFonts w:ascii="Calibri" w:hAnsi="Calibri"/>
                <w:sz w:val="22"/>
              </w:rPr>
              <w:t>+4.5%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Same-Property NOI Growth (Q2 2026)</w:t>
            </w:r>
          </w:p>
        </w:tc>
        <w:tc>
          <w:tcPr>
            <w:tcW w:type="dxa" w:w="1080"/>
          </w:tcPr>
          <w:p>
            <w:r>
              <w:rPr>
                <w:rFonts w:ascii="Calibri" w:hAnsi="Calibri"/>
                <w:sz w:val="22"/>
              </w:rPr>
              <w:t>~5.16%</w:t>
            </w:r>
          </w:p>
        </w:tc>
        <w:tc>
          <w:tcPr>
            <w:tcW w:type="dxa" w:w="1080"/>
          </w:tcPr>
          <w:p>
            <w:r>
              <w:rPr>
                <w:rFonts w:ascii="Calibri" w:hAnsi="Calibri"/>
                <w:sz w:val="22"/>
              </w:rPr>
              <w:t>~4.64%</w:t>
            </w:r>
          </w:p>
        </w:tc>
        <w:tc>
          <w:tcPr>
            <w:tcW w:type="dxa" w:w="1080"/>
          </w:tcPr>
          <w:p>
            <w:r>
              <w:rPr>
                <w:rFonts w:ascii="Calibri" w:hAnsi="Calibri"/>
                <w:sz w:val="22"/>
              </w:rPr>
              <w:t>-10.1%</w:t>
            </w:r>
          </w:p>
        </w:tc>
        <w:tc>
          <w:tcPr>
            <w:tcW w:type="dxa" w:w="1080"/>
          </w:tcPr>
          <w:p>
            <w:r>
              <w:rPr>
                <w:rFonts w:ascii="Calibri" w:hAnsi="Calibri"/>
                <w:sz w:val="22"/>
              </w:rPr>
              <w:t>Below FY range of 3.25%–3.75%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still above mgmt guide for Q2; downside risk if CAM comp is worse than expected</w:t>
            </w:r>
          </w:p>
        </w:tc>
      </w:tr>
      <w:tr>
        <w:tc>
          <w:tcPr>
            <w:tcW w:type="dxa" w:w="1080"/>
          </w:tcPr>
          <w:p>
            <w:r>
              <w:rPr>
                <w:rFonts w:ascii="Calibri" w:hAnsi="Calibri"/>
                <w:sz w:val="22"/>
              </w:rPr>
              <w:t>Same-Property NOI Growth (FY 2026)</w:t>
            </w:r>
          </w:p>
        </w:tc>
        <w:tc>
          <w:tcPr>
            <w:tcW w:type="dxa" w:w="1080"/>
          </w:tcPr>
          <w:p>
            <w:r>
              <w:rPr>
                <w:rFonts w:ascii="Calibri" w:hAnsi="Calibri"/>
                <w:sz w:val="22"/>
              </w:rPr>
              <w:t>~4.72%</w:t>
            </w:r>
          </w:p>
        </w:tc>
        <w:tc>
          <w:tcPr>
            <w:tcW w:type="dxa" w:w="1080"/>
          </w:tcPr>
          <w:p>
            <w:r>
              <w:rPr>
                <w:rFonts w:ascii="Calibri" w:hAnsi="Calibri"/>
                <w:sz w:val="22"/>
              </w:rPr>
              <w:t>~4.31%</w:t>
            </w:r>
          </w:p>
        </w:tc>
        <w:tc>
          <w:tcPr>
            <w:tcW w:type="dxa" w:w="1080"/>
          </w:tcPr>
          <w:p>
            <w:r>
              <w:rPr>
                <w:rFonts w:ascii="Calibri" w:hAnsi="Calibri"/>
                <w:sz w:val="22"/>
              </w:rPr>
              <w:t>-8.7%</w:t>
            </w:r>
          </w:p>
        </w:tc>
        <w:tc>
          <w:tcPr>
            <w:tcW w:type="dxa" w:w="1080"/>
          </w:tcPr>
          <w:p>
            <w:r>
              <w:rPr>
                <w:rFonts w:ascii="Calibri" w:hAnsi="Calibri"/>
                <w:sz w:val="22"/>
              </w:rPr>
              <w:t>3.25%–3.75%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+56 bps above midpoint; modest cushion</w:t>
            </w:r>
          </w:p>
        </w:tc>
      </w:tr>
      <w:tr>
        <w:tc>
          <w:tcPr>
            <w:tcW w:type="dxa" w:w="1080"/>
          </w:tcPr>
          <w:p>
            <w:r>
              <w:rPr>
                <w:rFonts w:ascii="Calibri" w:hAnsi="Calibri"/>
                <w:sz w:val="22"/>
              </w:rPr>
              <w:t>Total Revenue (Q2 2026)</w:t>
            </w:r>
          </w:p>
        </w:tc>
        <w:tc>
          <w:tcPr>
            <w:tcW w:type="dxa" w:w="1080"/>
          </w:tcPr>
          <w:p>
            <w:r>
              <w:rPr>
                <w:rFonts w:ascii="Calibri" w:hAnsi="Calibri"/>
                <w:sz w:val="22"/>
              </w:rPr>
              <w:t>$402.4M</w:t>
            </w:r>
          </w:p>
        </w:tc>
        <w:tc>
          <w:tcPr>
            <w:tcW w:type="dxa" w:w="1080"/>
          </w:tcPr>
          <w:p>
            <w:r>
              <w:rPr>
                <w:rFonts w:ascii="Calibri" w:hAnsi="Calibri"/>
                <w:sz w:val="22"/>
              </w:rPr>
              <w:t>$400.5M</w:t>
            </w:r>
          </w:p>
        </w:tc>
        <w:tc>
          <w:tcPr>
            <w:tcW w:type="dxa" w:w="1080"/>
          </w:tcPr>
          <w:p>
            <w:r>
              <w:rPr>
                <w:rFonts w:ascii="Calibri" w:hAnsi="Calibri"/>
                <w:sz w:val="22"/>
              </w:rPr>
              <w:t>-0.5%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(as-of date May 6, 2026 for baseline; latest as of July 28, 2026 for current). Q1 2026 Earnings Call Transcript for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REG has </w:t>
      </w:r>
      <w:r>
        <w:rPr>
          <w:rFonts w:ascii="Calibri" w:hAnsi="Calibri"/>
          <w:b/>
          <w:color w:val="525866"/>
          <w:sz w:val="22"/>
        </w:rPr>
        <w:t>underperformed both XLRE (+5.4%) and the S&amp;P 500 (+4.1%) since the April 29 earnings date</w:t>
      </w:r>
      <w:r>
        <w:rPr>
          <w:rFonts w:ascii="Calibri" w:hAnsi="Calibri"/>
          <w:color w:val="525866"/>
          <w:sz w:val="22"/>
        </w:rPr>
        <w:t xml:space="preserve">, returning only +2.0% through July 28 — the lag is driven by </w:t>
      </w:r>
      <w:r>
        <w:rPr>
          <w:rFonts w:ascii="Calibri" w:hAnsi="Calibri"/>
          <w:b/>
          <w:color w:val="525866"/>
          <w:sz w:val="22"/>
        </w:rPr>
        <w:t>multiple compression</w:t>
      </w:r>
      <w:r>
        <w:rPr>
          <w:rFonts w:ascii="Calibri" w:hAnsi="Calibri"/>
          <w:color w:val="525866"/>
          <w:sz w:val="22"/>
        </w:rPr>
        <w:t xml:space="preserve"> rather than estimate cuts (FFO estimates are flat), reflecting the market pricing in the known Q2 NOI deceleration and the premium valuation leaving little room for error; the relative underperformance sets up a more attractive entry point if the full-year guide is reaffirmed.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REG vs. XLRE vs. S&amp;P 500 — Indexed to 100 at April 29, 2026 (Q1 2026 Earnings Date). Sector ETF: XLRE (Real Estate Select Sector SPDR). Source: Stock Price Data.</w:t>
      </w:r>
    </w:p>
    <w:p>
      <w:r>
        <w:rPr>
          <w:rFonts w:ascii="Calibri" w:hAnsi="Calibri"/>
          <w:b/>
          <w:color w:val="525866"/>
          <w:sz w:val="22"/>
        </w:rPr>
        <w:t xml:space="preserve">Performance Summary (Apr 29 → Jul 28, 2026): </w:t>
      </w:r>
      <w:r>
        <w:rPr>
          <w:rFonts w:ascii="Calibri" w:hAnsi="Calibri"/>
          <w:i/>
          <w:color w:val="525866"/>
          <w:sz w:val="22"/>
        </w:rPr>
        <w:t>REG: $79.38 → $80.97 (+2.0%) | XLRE: $43.64 → $46.01 (+5.4%) | SPY: $711.58 → $740.86 (+4.1%). REG underperformed XLRE by ~340 bps and the S&amp;P 500 by ~210 bps over the period. The stock briefly dipped to ~$76 in late May/early June before recovering, with a notable re-rating in mid-July (stock moved from ~$80 to ~$82.50) coinciding with broader REIT sector strength. Source: Stock Price Data.</w:t>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Both BRX (reported July 28) and PECO (reported July 24) delivered </w:t>
      </w:r>
      <w:r>
        <w:rPr>
          <w:rFonts w:ascii="Calibri" w:hAnsi="Calibri"/>
          <w:b/>
          <w:color w:val="525866"/>
          <w:sz w:val="22"/>
        </w:rPr>
        <w:t>strong Q2 2026 results</w:t>
      </w:r>
      <w:r>
        <w:rPr>
          <w:rFonts w:ascii="Calibri" w:hAnsi="Calibri"/>
          <w:color w:val="525866"/>
          <w:sz w:val="22"/>
        </w:rPr>
        <w:t xml:space="preserve"> with robust leasing demand, record rent spreads, and improving bad debt — all </w:t>
      </w:r>
      <w:r>
        <w:rPr>
          <w:rFonts w:ascii="Calibri" w:hAnsi="Calibri"/>
          <w:b/>
          <w:color w:val="525866"/>
          <w:sz w:val="22"/>
        </w:rPr>
        <w:t>positive read-throughs for REG</w:t>
      </w:r>
      <w:r>
        <w:rPr>
          <w:rFonts w:ascii="Calibri" w:hAnsi="Calibri"/>
          <w:color w:val="525866"/>
          <w:sz w:val="22"/>
        </w:rPr>
        <w:t xml:space="preserve"> heading into its own print; the common theme is that grocery-anchored retail fundamentals remain exceptionally healthy with no signs of consumer or tenant deterioration, though both peers flagged that the acquisition market remains highly competitive with cap rates not widening despite higher rates.</w:t>
      </w:r>
    </w:p>
    <w:p>
      <w:pPr>
        <w:pStyle w:val="Heading3"/>
      </w:pPr>
      <w:r>
        <w:rPr>
          <w:rFonts w:ascii="Calibri" w:hAnsi="Calibri"/>
          <w:b/>
          <w:color w:val="3B4259"/>
          <w:sz w:val="24"/>
        </w:rPr>
        <w:t>Brixmor Property Group (BRX) — Q2 2026 Earnings (Reported July 28, 2026)</w:t>
      </w:r>
    </w:p>
    <w:p>
      <w:r>
        <w:rPr>
          <w:rFonts w:ascii="Calibri" w:hAnsi="Calibri"/>
          <w:b/>
          <w:color w:val="525866"/>
          <w:sz w:val="22"/>
        </w:rPr>
        <w:t xml:space="preserve">Relevance to REG: </w:t>
      </w:r>
      <w:r>
        <w:rPr>
          <w:rFonts w:ascii="Calibri" w:hAnsi="Calibri"/>
          <w:color w:val="525866"/>
          <w:sz w:val="22"/>
        </w:rPr>
        <w:t>BRX is a direct grocery-anchored open-air shopping center peer. Its Q2 results are the most timely read-through available for REG's upcoming print.</w:t>
      </w:r>
    </w:p>
    <w:p>
      <w:pPr>
        <w:pStyle w:val="ListBullet"/>
        <w:ind w:left="360" w:hanging="360"/>
      </w:pPr>
      <w:r>
        <w:rPr>
          <w:rFonts w:ascii="Calibri" w:hAnsi="Calibri"/>
          <w:b/>
          <w:color w:val="525866"/>
          <w:sz w:val="22"/>
        </w:rPr>
        <w:t>Same-property NOI growth of 5.8%</w:t>
      </w:r>
      <w:r>
        <w:rPr>
          <w:rFonts w:ascii="Calibri" w:hAnsi="Calibri"/>
          <w:color w:val="525866"/>
          <w:sz w:val="22"/>
        </w:rPr>
        <w:t xml:space="preserve"> in Q2 2026, with a 440 bps contribution from base rent — well above REG's guided range of 3.25%–3.75% for the full year, suggesting the sector-wide leasing environment is supportive. BRX raised its full-year same-property NOI growth guidance to 5.0%–5.75%.</w:t>
      </w:r>
    </w:p>
    <w:p>
      <w:pPr>
        <w:pStyle w:val="ListBullet"/>
        <w:ind w:left="360" w:hanging="360"/>
      </w:pPr>
      <w:r>
        <w:rPr>
          <w:rFonts w:ascii="Calibri" w:hAnsi="Calibri"/>
          <w:b/>
          <w:color w:val="525866"/>
          <w:sz w:val="22"/>
        </w:rPr>
        <w:t xml:space="preserve">Leasing spreads remain exceptional: </w:t>
      </w:r>
      <w:r>
        <w:rPr>
          <w:rFonts w:ascii="Calibri" w:hAnsi="Calibri"/>
          <w:color w:val="525866"/>
          <w:sz w:val="22"/>
        </w:rPr>
        <w:t xml:space="preserve">blended cash spread of 19% (new leases at 31%, renewals at 16%), with new lease spreads above 30% for three consecutive years. Record embedded rent growth of 2.8% across new and renewal leases vs. 1.6% in-place average. </w:t>
      </w:r>
    </w:p>
    <w:p>
      <w:pPr>
        <w:pStyle w:val="ListBullet"/>
        <w:ind w:left="360" w:hanging="360"/>
      </w:pPr>
      <w:r>
        <w:rPr>
          <w:rFonts w:ascii="Calibri" w:hAnsi="Calibri"/>
          <w:b/>
          <w:color w:val="525866"/>
          <w:sz w:val="22"/>
        </w:rPr>
        <w:t xml:space="preserve">Bad debt improving: </w:t>
      </w:r>
      <w:r>
        <w:rPr>
          <w:rFonts w:ascii="Calibri" w:hAnsi="Calibri"/>
          <w:color w:val="525866"/>
          <w:sz w:val="22"/>
        </w:rPr>
        <w:t>Uncollectible revenues now guided to 60–85 bps of total revenues (down from prior range), reflecting strong tenant health. Small shop move-outs at record lows; retention rates up 300 bps YoY. This is a direct positive read-through for REG's uncollectible lease income assumption.</w:t>
      </w:r>
    </w:p>
    <w:p>
      <w:pPr>
        <w:pStyle w:val="ListBullet"/>
        <w:ind w:left="360" w:hanging="360"/>
      </w:pPr>
      <w:r>
        <w:rPr>
          <w:rFonts w:ascii="Calibri" w:hAnsi="Calibri"/>
          <w:b/>
          <w:color w:val="525866"/>
          <w:sz w:val="22"/>
        </w:rPr>
        <w:t>SNO pipeline at record $71M of annualized base rent</w:t>
      </w:r>
      <w:r>
        <w:rPr>
          <w:rFonts w:ascii="Calibri" w:hAnsi="Calibri"/>
          <w:color w:val="525866"/>
          <w:sz w:val="22"/>
        </w:rPr>
        <w:t xml:space="preserve"> — a clear bridge to future NOI growth, with a significant portion commencing in 2027 and beyond. REG's own SNO pipeline of ~$42M represents a similar embedded growth dynamic.</w:t>
      </w:r>
    </w:p>
    <w:p>
      <w:pPr>
        <w:pStyle w:val="ListBullet"/>
        <w:ind w:left="360" w:hanging="360"/>
      </w:pPr>
      <w:r>
        <w:rPr>
          <w:rFonts w:ascii="Calibri" w:hAnsi="Calibri"/>
          <w:b/>
          <w:color w:val="525866"/>
          <w:sz w:val="22"/>
        </w:rPr>
        <w:t xml:space="preserve">Acquisition market remains competitive: </w:t>
      </w:r>
      <w:r>
        <w:rPr>
          <w:rFonts w:ascii="Calibri" w:hAnsi="Calibri"/>
          <w:color w:val="525866"/>
          <w:sz w:val="22"/>
        </w:rPr>
        <w:t>BRX completed $164M of acquisitions in Q2 at a blended low-6% cap rate, using OP units as currency for the first time (Mayfair Shopping Center on Long Island). Private capital is actively competing for grocery-anchored assets, keeping cap rates tight — consistent with REG management's characterization of acquisitions as 'really challenging.'</w:t>
      </w:r>
    </w:p>
    <w:p>
      <w:pPr>
        <w:pStyle w:val="ListBullet"/>
        <w:ind w:left="360" w:hanging="360"/>
      </w:pPr>
      <w:r>
        <w:rPr>
          <w:rFonts w:ascii="Calibri" w:hAnsi="Calibri"/>
          <w:b/>
          <w:color w:val="525866"/>
          <w:sz w:val="22"/>
        </w:rPr>
        <w:t>S&amp;P revised BRX's outlook to positive</w:t>
      </w:r>
      <w:r>
        <w:rPr>
          <w:rFonts w:ascii="Calibri" w:hAnsi="Calibri"/>
          <w:color w:val="525866"/>
          <w:sz w:val="22"/>
        </w:rPr>
        <w:t>, reflecting balance sheet improvements — a sector-wide credit quality signal that benefits REG's A-rated positioning.</w:t>
      </w:r>
    </w:p>
    <w:p>
      <w:pPr>
        <w:pStyle w:val="ListBullet"/>
        <w:ind w:left="360" w:hanging="360"/>
      </w:pPr>
      <w:r>
        <w:rPr>
          <w:rFonts w:ascii="Calibri" w:hAnsi="Calibri"/>
          <w:b/>
          <w:color w:val="525866"/>
          <w:sz w:val="22"/>
        </w:rPr>
        <w:t>Occupancy dipped 30 bps sequentially to 94.8%</w:t>
      </w:r>
      <w:r>
        <w:rPr>
          <w:rFonts w:ascii="Calibri" w:hAnsi="Calibri"/>
          <w:color w:val="525866"/>
          <w:sz w:val="22"/>
        </w:rPr>
        <w:t xml:space="preserve"> due to proactive move-outs at redevelopment assets and Painted Tree/Wren Kitchens recaptures — not a demand signal; 6 of 8 recaptured Painted Tree boxes already re-leased at 40%+ spreads. Small shop occupancy hit a record 92.6%.</w:t>
      </w:r>
    </w:p>
    <w:p>
      <w:r>
        <w:rPr>
          <w:rFonts w:ascii="Calibri" w:hAnsi="Calibri"/>
          <w:i/>
          <w:color w:val="525866"/>
          <w:sz w:val="22"/>
        </w:rPr>
        <w:t>Source: BRX Q2 2026 Earnings Call Transcript (July 28, 2026).</w:t>
      </w:r>
    </w:p>
    <w:p>
      <w:pPr>
        <w:pStyle w:val="Heading3"/>
      </w:pPr>
      <w:r>
        <w:rPr>
          <w:rFonts w:ascii="Calibri" w:hAnsi="Calibri"/>
          <w:b/>
          <w:color w:val="3B4259"/>
          <w:sz w:val="24"/>
        </w:rPr>
        <w:t>Phillips Edison &amp; Company (PECO) — Q2 2026 Earnings (Reported July 24, 2026)</w:t>
      </w:r>
    </w:p>
    <w:p>
      <w:r>
        <w:rPr>
          <w:rFonts w:ascii="Calibri" w:hAnsi="Calibri"/>
          <w:b/>
          <w:color w:val="525866"/>
          <w:sz w:val="22"/>
        </w:rPr>
        <w:t xml:space="preserve">Relevance to REG: </w:t>
      </w:r>
      <w:r>
        <w:rPr>
          <w:rFonts w:ascii="Calibri" w:hAnsi="Calibri"/>
          <w:color w:val="525866"/>
          <w:sz w:val="22"/>
        </w:rPr>
        <w:t>PECO is a pure-play grocery-anchored shopping center REIT with a similar tenant mix and necessity-based retail focus. Its results provide a direct read on grocery anchor health and small shop demand.</w:t>
      </w:r>
    </w:p>
    <w:p>
      <w:pPr>
        <w:pStyle w:val="ListBullet"/>
        <w:ind w:left="360" w:hanging="360"/>
      </w:pPr>
      <w:r>
        <w:rPr>
          <w:rFonts w:ascii="Calibri" w:hAnsi="Calibri"/>
          <w:b/>
          <w:color w:val="525866"/>
          <w:sz w:val="22"/>
        </w:rPr>
        <w:t>Core FFO per share growth of 7.8% YoY</w:t>
      </w:r>
      <w:r>
        <w:rPr>
          <w:rFonts w:ascii="Calibri" w:hAnsi="Calibri"/>
          <w:color w:val="525866"/>
          <w:sz w:val="22"/>
        </w:rPr>
        <w:t xml:space="preserve"> and same-center NOI growth of 3.8% in Q2 2026. PECO raised full-year guidance for both FFO per share (+6.3% over 2025 at midpoint) and Core FFO per share (+6.2%), and updated same-center NOI growth guidance to 3.7% at the midpoint — in the upper range of its 3%–4% long-term target.</w:t>
      </w:r>
    </w:p>
    <w:p>
      <w:pPr>
        <w:pStyle w:val="ListBullet"/>
        <w:ind w:left="360" w:hanging="360"/>
      </w:pPr>
      <w:r>
        <w:rPr>
          <w:rFonts w:ascii="Calibri" w:hAnsi="Calibri"/>
          <w:b/>
          <w:color w:val="525866"/>
          <w:sz w:val="22"/>
        </w:rPr>
        <w:t xml:space="preserve">Leasing demand remains robust with no signs of slowing: </w:t>
      </w:r>
      <w:r>
        <w:rPr>
          <w:rFonts w:ascii="Calibri" w:hAnsi="Calibri"/>
          <w:color w:val="525866"/>
          <w:sz w:val="22"/>
        </w:rPr>
        <w:t>Comparable renewal spreads of 21.2% and new lease spreads of 33.7%. In-line leasing deals averaged record-high annual rent bumps of 3.1%. Retention rate of 90% at less than $1/sq ft cost. These metrics are consistent with REG's own strong leasing environment.</w:t>
      </w:r>
    </w:p>
    <w:p>
      <w:pPr>
        <w:pStyle w:val="ListBullet"/>
        <w:ind w:left="360" w:hanging="360"/>
      </w:pPr>
      <w:r>
        <w:rPr>
          <w:rFonts w:ascii="Calibri" w:hAnsi="Calibri"/>
          <w:b/>
          <w:color w:val="525866"/>
          <w:sz w:val="22"/>
        </w:rPr>
        <w:t xml:space="preserve">Occupancy at record levels: </w:t>
      </w:r>
      <w:r>
        <w:rPr>
          <w:rFonts w:ascii="Calibri" w:hAnsi="Calibri"/>
          <w:color w:val="525866"/>
          <w:sz w:val="22"/>
        </w:rPr>
        <w:t>Leased portfolio occupancy of 97.3%; leased anchor occupancy of 98.4%; leased inline occupancy at a record 95.5%; economic inline occupancy at a record 94.8%. PECO sees another 100 bps of inline occupancy lift possible over 24 months and 50–60 bps of anchor occupancy gain by year-end.</w:t>
      </w:r>
    </w:p>
    <w:p>
      <w:pPr>
        <w:pStyle w:val="ListBullet"/>
        <w:ind w:left="360" w:hanging="360"/>
      </w:pPr>
      <w:r>
        <w:rPr>
          <w:rFonts w:ascii="Calibri" w:hAnsi="Calibri"/>
          <w:b/>
          <w:color w:val="525866"/>
          <w:sz w:val="22"/>
        </w:rPr>
        <w:t xml:space="preserve">Bad debt better than expected: </w:t>
      </w:r>
      <w:r>
        <w:rPr>
          <w:rFonts w:ascii="Calibri" w:hAnsi="Calibri"/>
          <w:color w:val="525866"/>
          <w:sz w:val="22"/>
        </w:rPr>
        <w:t>~70 bps of revenue in Q2, with full-year guidance lowered to in-line or slightly better than 2025. This is a strong positive read-through for REG's uncollectible lease income assumption and suggests the tenant health environment is better than feared.</w:t>
      </w:r>
    </w:p>
    <w:p>
      <w:pPr>
        <w:pStyle w:val="ListBullet"/>
        <w:ind w:left="360" w:hanging="360"/>
      </w:pPr>
      <w:r>
        <w:rPr>
          <w:rFonts w:ascii="Calibri" w:hAnsi="Calibri"/>
          <w:b/>
          <w:color w:val="525866"/>
          <w:sz w:val="22"/>
        </w:rPr>
        <w:t xml:space="preserve">Consumer traffic resilient: </w:t>
      </w:r>
      <w:r>
        <w:rPr>
          <w:rFonts w:ascii="Calibri" w:hAnsi="Calibri"/>
          <w:color w:val="525866"/>
          <w:sz w:val="22"/>
        </w:rPr>
        <w:t>2% YoY traffic growth in June and 2% YTD. Consumers increasingly seeking value but continuing to make frequent trips to necessity-based destinations. Grocers like Walmart and Kroger reinvesting in price due to sensing some consumer weakness, but PECO's foot traffic data shows no on-the-ground deterioration — consistent with REG's April foot traffic data (+3% YoY).</w:t>
      </w:r>
    </w:p>
    <w:p>
      <w:pPr>
        <w:pStyle w:val="ListBullet"/>
        <w:ind w:left="360" w:hanging="360"/>
      </w:pPr>
      <w:r>
        <w:rPr>
          <w:rFonts w:ascii="Calibri" w:hAnsi="Calibri"/>
          <w:b/>
          <w:color w:val="525866"/>
          <w:sz w:val="22"/>
        </w:rPr>
        <w:t xml:space="preserve">Kroger/Giant Eagle acquisition: </w:t>
      </w:r>
      <w:r>
        <w:rPr>
          <w:rFonts w:ascii="Calibri" w:hAnsi="Calibri"/>
          <w:color w:val="525866"/>
          <w:sz w:val="22"/>
        </w:rPr>
        <w:t>PECO (Kroger's largest landlord) views the announced Kroger acquisition of Giant Eagle as a positive indicator for the long-term strength of the grocery-anchored sector. PECO has 10 Giant Eagle stores in strong locations with high sales. This is a sector-wide positive for grocery anchor quality.</w:t>
      </w:r>
    </w:p>
    <w:p>
      <w:pPr>
        <w:pStyle w:val="ListBullet"/>
        <w:ind w:left="360" w:hanging="360"/>
      </w:pPr>
      <w:r>
        <w:rPr>
          <w:rFonts w:ascii="Calibri" w:hAnsi="Calibri"/>
          <w:b/>
          <w:color w:val="525866"/>
          <w:sz w:val="22"/>
        </w:rPr>
        <w:t xml:space="preserve">Acquisition market competitive but active: </w:t>
      </w:r>
      <w:r>
        <w:rPr>
          <w:rFonts w:ascii="Calibri" w:hAnsi="Calibri"/>
          <w:color w:val="525866"/>
          <w:sz w:val="22"/>
        </w:rPr>
        <w:t>PECO completed $278M of acquisitions YTD and raised full-year gross acquisition guidance to $500M–$600M. Cap rates remain aggressive (6.4%–7.5% range; pipeline close to 6.5% for H2). Seeing 30% more opportunities than last year. Acquisition market dynamics mirror REG's experience.</w:t>
      </w:r>
    </w:p>
    <w:p>
      <w:pPr>
        <w:pStyle w:val="ListBullet"/>
        <w:ind w:left="360" w:hanging="360"/>
      </w:pPr>
      <w:r>
        <w:rPr>
          <w:rFonts w:ascii="Calibri" w:hAnsi="Calibri"/>
          <w:b/>
          <w:color w:val="525866"/>
          <w:sz w:val="22"/>
        </w:rPr>
        <w:t xml:space="preserve">Development pipeline growing: </w:t>
      </w:r>
      <w:r>
        <w:rPr>
          <w:rFonts w:ascii="Calibri" w:hAnsi="Calibri"/>
          <w:color w:val="525866"/>
          <w:sz w:val="22"/>
        </w:rPr>
        <w:t>21 projects under active construction at $82M total investment with 9%–12% estimated yields. 11 projects stabilized YTD delivering ~$3.4M of incremental annual NOI. Moody's revised PECO's outlook to positive.</w:t>
      </w:r>
    </w:p>
    <w:p>
      <w:r>
        <w:rPr>
          <w:rFonts w:ascii="Calibri" w:hAnsi="Calibri"/>
          <w:i/>
          <w:color w:val="525866"/>
          <w:sz w:val="22"/>
        </w:rPr>
        <w:t>Source: PECO Q2 2026 Earnings Call Transcript (July 24, 2026).</w:t>
      </w:r>
    </w:p>
    <w:p>
      <w:r>
        <w:rPr>
          <w:rFonts w:ascii="Calibri" w:hAnsi="Calibri"/>
          <w:b/>
          <w:color w:val="525866"/>
          <w:sz w:val="22"/>
        </w:rPr>
        <w:t xml:space="preserve">Overall Read-Through for REG: </w:t>
      </w:r>
      <w:r>
        <w:rPr>
          <w:rFonts w:ascii="Calibri" w:hAnsi="Calibri"/>
          <w:color w:val="525866"/>
          <w:sz w:val="22"/>
        </w:rPr>
        <w:t xml:space="preserve">The BRX and PECO prints are </w:t>
      </w:r>
      <w:r>
        <w:rPr>
          <w:rFonts w:ascii="Calibri" w:hAnsi="Calibri"/>
          <w:b/>
          <w:color w:val="525866"/>
          <w:sz w:val="22"/>
        </w:rPr>
        <w:t>unambiguously positive</w:t>
      </w:r>
      <w:r>
        <w:rPr>
          <w:rFonts w:ascii="Calibri" w:hAnsi="Calibri"/>
          <w:color w:val="525866"/>
          <w:sz w:val="22"/>
        </w:rPr>
        <w:t xml:space="preserve"> for REG's Q2 setup. Key takeaways: (1) grocery-anchored leasing demand is strong with no signs of slowing; (2) bad debt is improving across the sector, reducing the risk of a negative surprise on REG's uncollectible lease income line; (3) rent spreads remain at historically elevated levels; (4) consumer traffic is resilient despite macro uncertainty; and (5) the acquisition market is competitive but active. The one area to watch is whether REG's same-property NOI growth, which management pre-guided below the 3.25%–3.75% range for Q2, comes in closer to BRX's 5.8% or PECO's 3.8% — the CAM reconciliation timing headwind is REG-specific and not a sector-wide issue.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BRX and PECO Q2 2026 prints</w:t>
      </w:r>
      <w:r>
        <w:rPr>
          <w:rFonts w:ascii="Calibri" w:hAnsi="Calibri"/>
          <w:color w:val="525866"/>
          <w:sz w:val="22"/>
        </w:rPr>
        <w:t xml:space="preserve"> (see Section 6), which confirm sector-wide leasing strength and improving bad debt — directly supportive of REG's full-year guide; no company-specific negative developments have emerged since April 29.</w:t>
      </w:r>
    </w:p>
    <w:p>
      <w:pPr>
        <w:pStyle w:val="ListBullet"/>
        <w:ind w:left="360" w:hanging="360"/>
      </w:pPr>
      <w:r>
        <w:rPr>
          <w:rFonts w:ascii="Calibri" w:hAnsi="Calibri"/>
          <w:b/>
          <w:color w:val="525866"/>
          <w:sz w:val="22"/>
        </w:rPr>
        <w:t xml:space="preserve">July 28, 2026 — BRX Q2 2026 Earnings (Positive Read-Through): </w:t>
      </w:r>
      <w:r>
        <w:rPr>
          <w:rFonts w:ascii="Calibri" w:hAnsi="Calibri"/>
          <w:color w:val="525866"/>
          <w:sz w:val="22"/>
        </w:rPr>
        <w:t>Brixmor reported 5.8% same-property NOI growth, raised full-year guidance, and flagged record SNO pipeline of $71M. Confirms grocery-anchored sector fundamentals remain strong heading into REG's print. Implication: reduces risk of a negative surprise on REG's leasing and NOI metrics.</w:t>
      </w:r>
    </w:p>
    <w:p>
      <w:pPr>
        <w:pStyle w:val="ListBullet"/>
        <w:ind w:left="360" w:hanging="360"/>
      </w:pPr>
      <w:r>
        <w:rPr>
          <w:rFonts w:ascii="Calibri" w:hAnsi="Calibri"/>
          <w:b/>
          <w:color w:val="525866"/>
          <w:sz w:val="22"/>
        </w:rPr>
        <w:t xml:space="preserve">July 24, 2026 — PECO Q2 2026 Earnings (Positive Read-Through): </w:t>
      </w:r>
      <w:r>
        <w:rPr>
          <w:rFonts w:ascii="Calibri" w:hAnsi="Calibri"/>
          <w:color w:val="525866"/>
          <w:sz w:val="22"/>
        </w:rPr>
        <w:t>Phillips Edison reported 3.8% same-center NOI growth, raised FFO guidance, and lowered bad debt guidance. Kroger/Giant Eagle acquisition viewed as a positive for grocery anchor quality. Implication: bad debt environment better than feared; grocery anchor demand robust.</w:t>
      </w:r>
    </w:p>
    <w:p>
      <w:pPr>
        <w:pStyle w:val="ListBullet"/>
        <w:ind w:left="360" w:hanging="360"/>
      </w:pPr>
      <w:r>
        <w:rPr>
          <w:rFonts w:ascii="Calibri" w:hAnsi="Calibri"/>
          <w:b/>
          <w:color w:val="525866"/>
          <w:sz w:val="22"/>
        </w:rPr>
        <w:t xml:space="preserve">June 25, 2026 — REG Announces Q2 2026 Earnings Conference Call: </w:t>
      </w:r>
      <w:r>
        <w:rPr>
          <w:rFonts w:ascii="Calibri" w:hAnsi="Calibri"/>
          <w:color w:val="525866"/>
          <w:sz w:val="22"/>
        </w:rPr>
        <w:t>Regency Centers issued a press release inviting investors to join its Q2 2026 earnings conference call. No new financial information disclosed. Implication: confirms earnings date is imminent.</w:t>
      </w:r>
    </w:p>
    <w:p>
      <w:pPr>
        <w:pStyle w:val="ListBullet"/>
        <w:ind w:left="360" w:hanging="360"/>
      </w:pPr>
      <w:r>
        <w:rPr>
          <w:rFonts w:ascii="Calibri" w:hAnsi="Calibri"/>
          <w:b/>
          <w:color w:val="525866"/>
          <w:sz w:val="22"/>
        </w:rPr>
        <w:t xml:space="preserve">May 26, 2026 — REG to Present at Nareit REITweek 2026 Investor Conference: </w:t>
      </w:r>
      <w:r>
        <w:rPr>
          <w:rFonts w:ascii="Calibri" w:hAnsi="Calibri"/>
          <w:color w:val="525866"/>
          <w:sz w:val="22"/>
        </w:rPr>
        <w:t>Regency Centers announced participation in the Nareit REITweek 2026 conference. Management characterized acquisitions as 'really challenging' given heavy capital competing for high-quality grocery-anchored centers, and reiterated development as the best use of free cash flow. Implication: no guidance change; tone consistent with Q1 call.</w:t>
      </w:r>
    </w:p>
    <w:p>
      <w:pPr>
        <w:pStyle w:val="ListBullet"/>
        <w:ind w:left="360" w:hanging="360"/>
      </w:pPr>
      <w:r>
        <w:rPr>
          <w:rFonts w:ascii="Calibri" w:hAnsi="Calibri"/>
          <w:b/>
          <w:color w:val="525866"/>
          <w:sz w:val="22"/>
        </w:rPr>
        <w:t xml:space="preserve">May 18, 2026 — Updated Investor Presentation (8-K): </w:t>
      </w:r>
      <w:r>
        <w:rPr>
          <w:rFonts w:ascii="Calibri" w:hAnsi="Calibri"/>
          <w:color w:val="525866"/>
          <w:sz w:val="22"/>
        </w:rPr>
        <w:t>Regency Centers filed an 8-K furnishing an updated investor presentation for use at conferences and meetings. No specific guidance changes or new financial disclosures were contained in the filing. Implication: routine update; no new information.</w:t>
      </w:r>
    </w:p>
    <w:p>
      <w:pPr>
        <w:pStyle w:val="ListBullet"/>
        <w:ind w:left="360" w:hanging="360"/>
      </w:pPr>
      <w:r>
        <w:rPr>
          <w:rFonts w:ascii="Calibri" w:hAnsi="Calibri"/>
          <w:b/>
          <w:color w:val="525866"/>
          <w:sz w:val="22"/>
        </w:rPr>
        <w:t xml:space="preserve">May 7, 2026 — Quarterly Dividend Declared: </w:t>
      </w:r>
      <w:r>
        <w:rPr>
          <w:rFonts w:ascii="Calibri" w:hAnsi="Calibri"/>
          <w:color w:val="525866"/>
          <w:sz w:val="22"/>
        </w:rPr>
        <w:t>Regency Centers declared its regular quarterly dividend. Shareholders also approved board and compensation matters at the annual meeting. Implication: no change to capital return policy; dividend maintained.</w:t>
      </w:r>
    </w:p>
    <w:p>
      <w:pPr>
        <w:pStyle w:val="ListBullet"/>
        <w:ind w:left="360" w:hanging="360"/>
      </w:pPr>
      <w:r>
        <w:rPr>
          <w:rFonts w:ascii="Calibri" w:hAnsi="Calibri"/>
          <w:b/>
          <w:color w:val="525866"/>
          <w:sz w:val="22"/>
        </w:rPr>
        <w:t xml:space="preserve">Ongoing — Bankruptcy Environment: </w:t>
      </w:r>
      <w:r>
        <w:rPr>
          <w:rFonts w:ascii="Calibri" w:hAnsi="Calibri"/>
          <w:color w:val="525866"/>
          <w:sz w:val="22"/>
        </w:rPr>
        <w:t>Management noted on the Q1 call that the company remains 'in the middle of some ongoing bankruptcy filings' and that 'bankruptcies are an uncertain process.' One tenant was moved to cash-basis accounting in Q1. Implication: key watch item for Q2 — any incremental bad debt or watch-list expansion could pressure the uncollectible lease income assumption. PECO and BRX data suggest the environment is improving, not deteriorating.</w:t>
      </w:r>
    </w:p>
    <w:p>
      <w:pPr>
        <w:pStyle w:val="ListBullet"/>
        <w:ind w:left="360" w:hanging="360"/>
      </w:pPr>
      <w:r>
        <w:rPr>
          <w:rFonts w:ascii="Calibri" w:hAnsi="Calibri"/>
          <w:b/>
          <w:color w:val="525866"/>
          <w:sz w:val="22"/>
        </w:rPr>
        <w:t xml:space="preserve">Ongoing — Development Pipeline Execution: </w:t>
      </w:r>
      <w:r>
        <w:rPr>
          <w:rFonts w:ascii="Calibri" w:hAnsi="Calibri"/>
          <w:color w:val="525866"/>
          <w:sz w:val="22"/>
        </w:rPr>
        <w:t>In-process pipeline exceeds $600M at blended yields above 9%. Ellis Village (Northern California) is 100% leased with anchor opening expected later in 2026. SunVet and Stone Bridge (Northeast) celebrated Whole Foods openings in Q1. Development starts expected to be back-end loaded in 2026, setting up deliveries in 2027 and beyond. Implication: pipeline execution is on track; back-end loaded starts mean Q2 spend may be below the ratable run-rate.</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have been filed since the Q1 earnings date; the only open-market sale of note was </w:t>
      </w:r>
      <w:r>
        <w:rPr>
          <w:rFonts w:ascii="Calibri" w:hAnsi="Calibri"/>
          <w:b/>
          <w:color w:val="525866"/>
          <w:sz w:val="22"/>
        </w:rPr>
        <w:t>Executive Chairman Martin Stein's large disposal of ~274,615 shares across multiple entities on May 4–5</w:t>
      </w:r>
      <w:r>
        <w:rPr>
          <w:rFonts w:ascii="Calibri" w:hAnsi="Calibri"/>
          <w:color w:val="525866"/>
          <w:sz w:val="22"/>
        </w:rPr>
        <w:t xml:space="preserve"> (~$21.4M at ~$78/share), which is notable in size but appears to be a planned/estate-planning transaction given the multi-entity structure (General Partnership, Trust, Corporation); CIO Nick Wibbenmeyer also sold 7,927 shares (~$618K) on May 5. No discretionary open-market buys signal limited insider conviction at current levels, though the absence of buys is not unusual for a REIT trading near fair value.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Martin E. Stein Jr.</w:t>
            </w:r>
          </w:p>
        </w:tc>
        <w:tc>
          <w:tcPr>
            <w:tcW w:type="dxa" w:w="1234"/>
          </w:tcPr>
          <w:p>
            <w:r>
              <w:rPr>
                <w:rFonts w:ascii="Calibri" w:hAnsi="Calibri"/>
                <w:sz w:val="22"/>
              </w:rPr>
              <w:t>Executive Chairman, Director</w:t>
            </w:r>
          </w:p>
        </w:tc>
        <w:tc>
          <w:tcPr>
            <w:tcW w:type="dxa" w:w="1234"/>
          </w:tcPr>
          <w:p>
            <w:r>
              <w:rPr>
                <w:rFonts w:ascii="Calibri" w:hAnsi="Calibri"/>
                <w:b/>
                <w:color w:val="E5484D"/>
                <w:sz w:val="22"/>
              </w:rPr>
              <w:t>Open Market Sale (multiple entities)</w:t>
            </w:r>
          </w:p>
        </w:tc>
        <w:tc>
          <w:tcPr>
            <w:tcW w:type="dxa" w:w="1234"/>
          </w:tcPr>
          <w:p>
            <w:r>
              <w:rPr>
                <w:rFonts w:ascii="Calibri" w:hAnsi="Calibri"/>
                <w:sz w:val="22"/>
              </w:rPr>
              <w:t>274,615 shares (combined)</w:t>
            </w:r>
          </w:p>
        </w:tc>
        <w:tc>
          <w:tcPr>
            <w:tcW w:type="dxa" w:w="1234"/>
          </w:tcPr>
          <w:p>
            <w:r>
              <w:rPr>
                <w:rFonts w:ascii="Calibri" w:hAnsi="Calibri"/>
                <w:sz w:val="22"/>
              </w:rPr>
              <w:t>~$21.4M</w:t>
            </w:r>
          </w:p>
        </w:tc>
        <w:tc>
          <w:tcPr>
            <w:tcW w:type="dxa" w:w="1234"/>
          </w:tcPr>
          <w:p>
            <w:r>
              <w:rPr>
                <w:rFonts w:ascii="Calibri" w:hAnsi="Calibri"/>
                <w:sz w:val="22"/>
              </w:rPr>
              <w:t>May 4, 2026</w:t>
            </w:r>
          </w:p>
        </w:tc>
        <w:tc>
          <w:tcPr>
            <w:tcW w:type="dxa" w:w="1234"/>
          </w:tcPr>
          <w:p>
            <w:r>
              <w:rPr>
                <w:rFonts w:ascii="Calibri" w:hAnsi="Calibri"/>
                <w:sz w:val="22"/>
              </w:rPr>
              <w:t>Sold via General Partnership (157,892 sh), Trust (6,460 sh), Corporation (110,263 sh); multi-entity structure suggests estate/tax planning rather than discretionary sale; no 10b5-1 flag in data</w:t>
            </w:r>
          </w:p>
        </w:tc>
      </w:tr>
      <w:tr>
        <w:tc>
          <w:tcPr>
            <w:tcW w:type="dxa" w:w="1234"/>
          </w:tcPr>
          <w:p>
            <w:r>
              <w:rPr>
                <w:rFonts w:ascii="Calibri" w:hAnsi="Calibri"/>
                <w:sz w:val="22"/>
              </w:rPr>
              <w:t>Nicholas A. Wibbenmeyer</w:t>
            </w:r>
          </w:p>
        </w:tc>
        <w:tc>
          <w:tcPr>
            <w:tcW w:type="dxa" w:w="1234"/>
          </w:tcPr>
          <w:p>
            <w:r>
              <w:rPr>
                <w:rFonts w:ascii="Calibri" w:hAnsi="Calibri"/>
                <w:sz w:val="22"/>
              </w:rPr>
              <w:t>W. Regional President &amp; CIO</w:t>
            </w:r>
          </w:p>
        </w:tc>
        <w:tc>
          <w:tcPr>
            <w:tcW w:type="dxa" w:w="1234"/>
          </w:tcPr>
          <w:p>
            <w:r>
              <w:rPr>
                <w:rFonts w:ascii="Calibri" w:hAnsi="Calibri"/>
                <w:b/>
                <w:color w:val="E5484D"/>
                <w:sz w:val="22"/>
              </w:rPr>
              <w:t>Open Market Sale</w:t>
            </w:r>
          </w:p>
        </w:tc>
        <w:tc>
          <w:tcPr>
            <w:tcW w:type="dxa" w:w="1234"/>
          </w:tcPr>
          <w:p>
            <w:r>
              <w:rPr>
                <w:rFonts w:ascii="Calibri" w:hAnsi="Calibri"/>
                <w:sz w:val="22"/>
              </w:rPr>
              <w:t>7,927 shares</w:t>
            </w:r>
          </w:p>
        </w:tc>
        <w:tc>
          <w:tcPr>
            <w:tcW w:type="dxa" w:w="1234"/>
          </w:tcPr>
          <w:p>
            <w:r>
              <w:rPr>
                <w:rFonts w:ascii="Calibri" w:hAnsi="Calibri"/>
                <w:sz w:val="22"/>
              </w:rPr>
              <w:t>~$618K</w:t>
            </w:r>
          </w:p>
        </w:tc>
        <w:tc>
          <w:tcPr>
            <w:tcW w:type="dxa" w:w="1234"/>
          </w:tcPr>
          <w:p>
            <w:r>
              <w:rPr>
                <w:rFonts w:ascii="Calibri" w:hAnsi="Calibri"/>
                <w:sz w:val="22"/>
              </w:rPr>
              <w:t>May 5, 2026</w:t>
            </w:r>
          </w:p>
        </w:tc>
        <w:tc>
          <w:tcPr>
            <w:tcW w:type="dxa" w:w="1234"/>
          </w:tcPr>
          <w:p>
            <w:r>
              <w:rPr>
                <w:rFonts w:ascii="Calibri" w:hAnsi="Calibri"/>
                <w:sz w:val="22"/>
              </w:rPr>
              <w:t>Discretionary sale; relatively modest size vs. remaining holdings (~33,069 shares post-sale); no 10b5-1 plan indicated</w:t>
            </w:r>
          </w:p>
        </w:tc>
      </w:tr>
      <w:tr>
        <w:tc>
          <w:tcPr>
            <w:tcW w:type="dxa" w:w="1234"/>
          </w:tcPr>
          <w:p>
            <w:r>
              <w:rPr>
                <w:rFonts w:ascii="Calibri" w:hAnsi="Calibri"/>
                <w:sz w:val="22"/>
              </w:rPr>
              <w:t>Terah L. Devereaux</w:t>
            </w:r>
          </w:p>
        </w:tc>
        <w:tc>
          <w:tcPr>
            <w:tcW w:type="dxa" w:w="1234"/>
          </w:tcPr>
          <w:p>
            <w:r>
              <w:rPr>
                <w:rFonts w:ascii="Calibri" w:hAnsi="Calibri"/>
                <w:sz w:val="22"/>
              </w:rPr>
              <w:t>Principal Accounting Officer</w:t>
            </w:r>
          </w:p>
        </w:tc>
        <w:tc>
          <w:tcPr>
            <w:tcW w:type="dxa" w:w="1234"/>
          </w:tcPr>
          <w:p>
            <w:r>
              <w:rPr>
                <w:rFonts w:ascii="Calibri" w:hAnsi="Calibri"/>
                <w:sz w:val="22"/>
              </w:rPr>
              <w:t>Open Market Sale</w:t>
            </w:r>
          </w:p>
        </w:tc>
        <w:tc>
          <w:tcPr>
            <w:tcW w:type="dxa" w:w="1234"/>
          </w:tcPr>
          <w:p>
            <w:r>
              <w:rPr>
                <w:rFonts w:ascii="Calibri" w:hAnsi="Calibri"/>
                <w:sz w:val="22"/>
              </w:rPr>
              <w:t>1,240 shares</w:t>
            </w:r>
          </w:p>
        </w:tc>
        <w:tc>
          <w:tcPr>
            <w:tcW w:type="dxa" w:w="1234"/>
          </w:tcPr>
          <w:p>
            <w:r>
              <w:rPr>
                <w:rFonts w:ascii="Calibri" w:hAnsi="Calibri"/>
                <w:sz w:val="22"/>
              </w:rPr>
              <w:t>~$99K</w:t>
            </w:r>
          </w:p>
        </w:tc>
        <w:tc>
          <w:tcPr>
            <w:tcW w:type="dxa" w:w="1234"/>
          </w:tcPr>
          <w:p>
            <w:r>
              <w:rPr>
                <w:rFonts w:ascii="Calibri" w:hAnsi="Calibri"/>
                <w:sz w:val="22"/>
              </w:rPr>
              <w:t>June 12, 2026</w:t>
            </w:r>
          </w:p>
        </w:tc>
        <w:tc>
          <w:tcPr>
            <w:tcW w:type="dxa" w:w="1234"/>
          </w:tcPr>
          <w:p>
            <w:r>
              <w:rPr>
                <w:rFonts w:ascii="Calibri" w:hAnsi="Calibri"/>
                <w:sz w:val="22"/>
              </w:rPr>
              <w:t>Small routine sale; also gifted 620 shares on same date; no 10b5-1 plan indicated</w:t>
            </w:r>
          </w:p>
        </w:tc>
      </w:tr>
      <w:tr>
        <w:tc>
          <w:tcPr>
            <w:tcW w:type="dxa" w:w="1234"/>
          </w:tcPr>
          <w:p>
            <w:r>
              <w:rPr>
                <w:rFonts w:ascii="Calibri" w:hAnsi="Calibri"/>
                <w:sz w:val="22"/>
              </w:rPr>
              <w:t>Multiple Directors (8 individuals)</w:t>
            </w:r>
          </w:p>
        </w:tc>
        <w:tc>
          <w:tcPr>
            <w:tcW w:type="dxa" w:w="1234"/>
          </w:tcPr>
          <w:p>
            <w:r>
              <w:rPr>
                <w:rFonts w:ascii="Calibri" w:hAnsi="Calibri"/>
                <w:sz w:val="22"/>
              </w:rPr>
              <w:t>Board of Directors</w:t>
            </w:r>
          </w:p>
        </w:tc>
        <w:tc>
          <w:tcPr>
            <w:tcW w:type="dxa" w:w="1234"/>
          </w:tcPr>
          <w:p>
            <w:r>
              <w:rPr>
                <w:rFonts w:ascii="Calibri" w:hAnsi="Calibri"/>
                <w:sz w:val="22"/>
              </w:rPr>
              <w:t>Restricted Stock Vesting / Award (non-open-market)</w:t>
            </w:r>
          </w:p>
        </w:tc>
        <w:tc>
          <w:tcPr>
            <w:tcW w:type="dxa" w:w="1234"/>
          </w:tcPr>
          <w:p>
            <w:r>
              <w:rPr>
                <w:rFonts w:ascii="Calibri" w:hAnsi="Calibri"/>
                <w:sz w:val="22"/>
              </w:rPr>
              <w:t>~1,807–2,340 shares each</w:t>
            </w:r>
          </w:p>
        </w:tc>
        <w:tc>
          <w:tcPr>
            <w:tcW w:type="dxa" w:w="1234"/>
          </w:tcPr>
          <w:p>
            <w:r>
              <w:rPr>
                <w:rFonts w:ascii="Calibri" w:hAnsi="Calibri"/>
                <w:sz w:val="22"/>
              </w:rPr>
              <w:t>N/A (compensation)</w:t>
            </w:r>
          </w:p>
        </w:tc>
        <w:tc>
          <w:tcPr>
            <w:tcW w:type="dxa" w:w="1234"/>
          </w:tcPr>
          <w:p>
            <w:r>
              <w:rPr>
                <w:rFonts w:ascii="Calibri" w:hAnsi="Calibri"/>
                <w:sz w:val="22"/>
              </w:rPr>
              <w:t>May 6–11, 2026</w:t>
            </w:r>
          </w:p>
        </w:tc>
        <w:tc>
          <w:tcPr>
            <w:tcW w:type="dxa" w:w="1234"/>
          </w:tcPr>
          <w:p>
            <w:r>
              <w:rPr>
                <w:rFonts w:ascii="Calibri" w:hAnsi="Calibri"/>
                <w:sz w:val="22"/>
              </w:rPr>
              <w:t>Routine annual director compensation grants and vesting; not open-market transactions; no signal value</w:t>
            </w:r>
          </w:p>
        </w:tc>
      </w:tr>
    </w:tbl>
    <w:p>
      <w:r>
        <w:rPr>
          <w:rFonts w:ascii="Calibri" w:hAnsi="Calibri"/>
          <w:i/>
          <w:color w:val="525866"/>
          <w:sz w:val="22"/>
        </w:rPr>
        <w:t>Source: Insider Transaction Data (SEC Form 4 filings). Approximate values calculated using stock price at or near transaction date (~$78–$80/share for May transactions, ~$80/share for June transactions).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