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Regency Centers Corporation (REG)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Regency Centers Corporation</w:t>
            </w:r>
          </w:p>
        </w:tc>
      </w:tr>
      <w:tr>
        <w:tc>
          <w:tcPr>
            <w:tcW w:type="dxa" w:w="4320"/>
          </w:tcPr>
          <w:p>
            <w:r>
              <w:rPr>
                <w:rFonts w:ascii="Calibri" w:hAnsi="Calibri"/>
                <w:b/>
                <w:sz w:val="22"/>
              </w:rPr>
              <w:t>Ticker</w:t>
            </w:r>
          </w:p>
        </w:tc>
        <w:tc>
          <w:tcPr>
            <w:tcW w:type="dxa" w:w="4320"/>
          </w:tcPr>
          <w:p>
            <w:r>
              <w:rPr>
                <w:rFonts w:ascii="Calibri" w:hAnsi="Calibri"/>
                <w:sz w:val="22"/>
              </w:rPr>
              <w:t>REG (Nasdaq)</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July 30, 2026 — Conference Call 11:00 AM ET</w:t>
            </w:r>
          </w:p>
        </w:tc>
      </w:tr>
      <w:tr>
        <w:tc>
          <w:tcPr>
            <w:tcW w:type="dxa" w:w="4320"/>
          </w:tcPr>
          <w:p>
            <w:r>
              <w:rPr>
                <w:rFonts w:ascii="Calibri" w:hAnsi="Calibri"/>
                <w:b/>
                <w:sz w:val="22"/>
              </w:rPr>
              <w:t>Prepared</w:t>
            </w:r>
          </w:p>
        </w:tc>
        <w:tc>
          <w:tcPr>
            <w:tcW w:type="dxa" w:w="4320"/>
          </w:tcPr>
          <w:p>
            <w:r>
              <w:rPr>
                <w:rFonts w:ascii="Calibri" w:hAnsi="Calibri"/>
                <w:sz w:val="22"/>
              </w:rPr>
              <w:t>July 29, 2026</w:t>
            </w:r>
          </w:p>
        </w:tc>
      </w:tr>
      <w:tr>
        <w:tc>
          <w:tcPr>
            <w:tcW w:type="dxa" w:w="4320"/>
          </w:tcPr>
          <w:p>
            <w:r>
              <w:rPr>
                <w:rFonts w:ascii="Calibri" w:hAnsi="Calibri"/>
                <w:b/>
                <w:sz w:val="22"/>
              </w:rPr>
              <w:t>Last Earnings</w:t>
            </w:r>
          </w:p>
        </w:tc>
        <w:tc>
          <w:tcPr>
            <w:tcW w:type="dxa" w:w="4320"/>
          </w:tcPr>
          <w:p>
            <w:r>
              <w:rPr>
                <w:rFonts w:ascii="Calibri" w:hAnsi="Calibri"/>
                <w:sz w:val="22"/>
              </w:rPr>
              <w:t>April 29–30, 2026 (Q1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b/>
          <w:color w:val="525866"/>
          <w:sz w:val="22"/>
        </w:rPr>
        <w:t xml:space="preserve">The setup into Q2 is a manageable bar — consensus Operating FFO of $1.15/share sits slightly below Q1’s $1.16 actual, and management pre-guided that Q2 same-property NOI would fall </w:t>
      </w:r>
      <w:r>
        <w:rPr>
          <w:rFonts w:ascii="Calibri" w:hAnsi="Calibri"/>
          <w:b/>
          <w:i/>
          <w:color w:val="525866"/>
          <w:sz w:val="22"/>
        </w:rPr>
        <w:t>below</w:t>
      </w:r>
      <w:r>
        <w:rPr>
          <w:rFonts w:ascii="Calibri" w:hAnsi="Calibri"/>
          <w:b/>
          <w:color w:val="525866"/>
          <w:sz w:val="22"/>
        </w:rPr>
        <w:t xml:space="preserve"> the full-year 3.25–3.75% range due to a tough CAM reconciliation comp; the wildcard is whether underlying base rent momentum and SNO pipeline conversion can offset that headwind and deliver a clean beat.</w:t>
      </w:r>
    </w:p>
    <w:p>
      <w:r>
        <w:rPr>
          <w:rFonts w:ascii="Calibri" w:hAnsi="Calibri"/>
          <w:color w:val="525866"/>
          <w:sz w:val="22"/>
        </w:rPr>
        <w:t xml:space="preserve">Heading into the Q2 2026 print, the bar for REG is deliberately set low on same-property NOI — management explicitly flagged on the Q1 call that Q2 would fall below the full-year guidance range of 3.25–3.75% owing to a tough prior-year expense reconciliation comparison, so a below-range print is already in the price. The more important signal will be the trajectory of </w:t>
      </w:r>
      <w:r>
        <w:rPr>
          <w:rFonts w:ascii="Calibri" w:hAnsi="Calibri"/>
          <w:b/>
          <w:color w:val="525866"/>
          <w:sz w:val="22"/>
        </w:rPr>
        <w:t>base rent growth</w:t>
      </w:r>
      <w:r>
        <w:rPr>
          <w:rFonts w:ascii="Calibri" w:hAnsi="Calibri"/>
          <w:color w:val="525866"/>
          <w:sz w:val="22"/>
        </w:rPr>
        <w:t xml:space="preserve"> (3.5% in Q1), the pace of SNO pipeline conversion (the $42 million pipeline represents the single largest embedded NOI tailwind), and any update to the development start cadence, which management guided would be back-end loaded in 2026. Guidance tone has been consistently confident: at the June 2 Nareit REITweek conference, CEO Lisa Palmer reiterated “off to another really strong start in 2026” with no changes to full-year targets, and COO Alan Roth described the leasing environment as “one of the best in my nearly 30-year career.” Estimate revisions have drifted modestly lower since Q1 — the Q2 Operating FFO consensus has slipped from $1.14 to $1.15 (essentially flat), while the FY 2026 consensus has edged down from $4.62 to $4.64 — suggesting the Street has already absorbed the guided Q2 softness without panic. The stock has rallied ~2% since the April 29 earnings date (from $79.38 to ~$80.97), outperforming SPY but lagging IYR, implying the market is pricing in solid but not spectacular execution. The key wildcard is </w:t>
      </w:r>
      <w:r>
        <w:rPr>
          <w:rFonts w:ascii="Calibri" w:hAnsi="Calibri"/>
          <w:b/>
          <w:color w:val="525866"/>
          <w:sz w:val="22"/>
        </w:rPr>
        <w:t>credit loss / bad debt</w:t>
      </w:r>
      <w:r>
        <w:rPr>
          <w:rFonts w:ascii="Calibri" w:hAnsi="Calibri"/>
          <w:color w:val="525866"/>
          <w:sz w:val="22"/>
        </w:rPr>
        <w:t>: management guided uncollectible lease income below historical averages, and peers PECO and BRX both reported Q2 bad debt well below expectations, which is a positive read-through for REG’s tenant health and could be the incremental upside driver on the print.</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is a low bar on same-property NOI (management pre-guided below-range) but a fair bar on Operating FFO; the bigger swing factor is whether SNO pipeline conversion and bad debt surprise to the upside, as peers suggest they might.</w:t>
      </w:r>
    </w:p>
    <w:p>
      <w:pPr>
        <w:pStyle w:val="Heading3"/>
      </w:pPr>
      <w:r>
        <w:rPr>
          <w:rFonts w:ascii="Calibri" w:hAnsi="Calibri"/>
          <w:b/>
          <w:color w:val="3B4259"/>
          <w:sz w:val="24"/>
        </w:rPr>
        <w:t>Table 1 — Q2 2026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 2026 Guidance (midpoint)</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Operating FFO per Share ($)</w:t>
            </w:r>
          </w:p>
        </w:tc>
        <w:tc>
          <w:tcPr>
            <w:tcW w:type="dxa" w:w="1234"/>
          </w:tcPr>
          <w:p>
            <w:r>
              <w:rPr>
                <w:rFonts w:ascii="Calibri" w:hAnsi="Calibri"/>
                <w:sz w:val="22"/>
              </w:rPr>
              <w:t>$1.16</w:t>
            </w:r>
          </w:p>
        </w:tc>
        <w:tc>
          <w:tcPr>
            <w:tcW w:type="dxa" w:w="1234"/>
          </w:tcPr>
          <w:p>
            <w:r>
              <w:rPr>
                <w:rFonts w:ascii="Calibri" w:hAnsi="Calibri"/>
                <w:sz w:val="22"/>
              </w:rPr>
              <w:t>$1.10</w:t>
            </w:r>
          </w:p>
        </w:tc>
        <w:tc>
          <w:tcPr>
            <w:tcW w:type="dxa" w:w="1234"/>
          </w:tcPr>
          <w:p>
            <w:r>
              <w:rPr>
                <w:rFonts w:ascii="Calibri" w:hAnsi="Calibri"/>
                <w:sz w:val="22"/>
              </w:rPr>
              <w:t>$1.15</w:t>
            </w:r>
          </w:p>
        </w:tc>
        <w:tc>
          <w:tcPr>
            <w:tcW w:type="dxa" w:w="1234"/>
          </w:tcPr>
          <w:p>
            <w:r>
              <w:rPr>
                <w:rFonts w:ascii="Calibri" w:hAnsi="Calibri"/>
                <w:sz w:val="22"/>
              </w:rPr>
              <w:t>+4.5%</w:t>
            </w:r>
          </w:p>
        </w:tc>
        <w:tc>
          <w:tcPr>
            <w:tcW w:type="dxa" w:w="1234"/>
          </w:tcPr>
          <w:p>
            <w:r>
              <w:rPr>
                <w:rFonts w:ascii="Calibri" w:hAnsi="Calibri"/>
                <w:sz w:val="22"/>
              </w:rPr>
              <w:t>~4.5% growth YoY (FY guide)</w:t>
            </w:r>
          </w:p>
        </w:tc>
        <w:tc>
          <w:tcPr>
            <w:tcW w:type="dxa" w:w="1234"/>
          </w:tcPr>
          <w:p>
            <w:r>
              <w:rPr>
                <w:rFonts w:ascii="Calibri" w:hAnsi="Calibri"/>
                <w:sz w:val="22"/>
              </w:rPr>
              <w:t>In line with FY trajectory</w:t>
            </w:r>
          </w:p>
        </w:tc>
      </w:tr>
      <w:tr>
        <w:tc>
          <w:tcPr>
            <w:tcW w:type="dxa" w:w="1234"/>
          </w:tcPr>
          <w:p>
            <w:r>
              <w:rPr>
                <w:rFonts w:ascii="Calibri" w:hAnsi="Calibri"/>
                <w:sz w:val="22"/>
              </w:rPr>
              <w:t>Same-Property NOI Growth (%)</w:t>
            </w:r>
          </w:p>
        </w:tc>
        <w:tc>
          <w:tcPr>
            <w:tcW w:type="dxa" w:w="1234"/>
          </w:tcPr>
          <w:p>
            <w:r>
              <w:rPr>
                <w:rFonts w:ascii="Calibri" w:hAnsi="Calibri"/>
                <w:sz w:val="22"/>
              </w:rPr>
              <w:t>4.4%</w:t>
            </w:r>
          </w:p>
        </w:tc>
        <w:tc>
          <w:tcPr>
            <w:tcW w:type="dxa" w:w="1234"/>
          </w:tcPr>
          <w:p>
            <w:r>
              <w:rPr>
                <w:rFonts w:ascii="Calibri" w:hAnsi="Calibri"/>
                <w:sz w:val="22"/>
              </w:rPr>
              <w:t>7.4%</w:t>
            </w:r>
          </w:p>
        </w:tc>
        <w:tc>
          <w:tcPr>
            <w:tcW w:type="dxa" w:w="1234"/>
          </w:tcPr>
          <w:p>
            <w:r>
              <w:rPr>
                <w:rFonts w:ascii="Calibri" w:hAnsi="Calibri"/>
                <w:sz w:val="22"/>
              </w:rPr>
              <w:t>4.6%</w:t>
            </w:r>
          </w:p>
        </w:tc>
        <w:tc>
          <w:tcPr>
            <w:tcW w:type="dxa" w:w="1234"/>
          </w:tcPr>
          <w:p>
            <w:r>
              <w:rPr>
                <w:rFonts w:ascii="Calibri" w:hAnsi="Calibri"/>
                <w:sz w:val="22"/>
              </w:rPr>
              <w:t>-280 bps YoY</w:t>
            </w:r>
          </w:p>
        </w:tc>
        <w:tc>
          <w:tcPr>
            <w:tcW w:type="dxa" w:w="1234"/>
          </w:tcPr>
          <w:p>
            <w:r>
              <w:rPr>
                <w:rFonts w:ascii="Calibri" w:hAnsi="Calibri"/>
                <w:sz w:val="22"/>
              </w:rPr>
              <w:t>3.25–3.75% (mid: 3.50%)</w:t>
            </w:r>
          </w:p>
        </w:tc>
        <w:tc>
          <w:tcPr>
            <w:tcW w:type="dxa" w:w="1234"/>
          </w:tcPr>
          <w:p>
            <w:r>
              <w:rPr>
                <w:rFonts w:ascii="Calibri" w:hAnsi="Calibri"/>
                <w:sz w:val="22"/>
              </w:rPr>
              <w:t>+110 bps above midpoint; mgmt pre-guided Q2 below range</w:t>
            </w:r>
          </w:p>
        </w:tc>
      </w:tr>
      <w:tr>
        <w:tc>
          <w:tcPr>
            <w:tcW w:type="dxa" w:w="1234"/>
          </w:tcPr>
          <w:p>
            <w:r>
              <w:rPr>
                <w:rFonts w:ascii="Calibri" w:hAnsi="Calibri"/>
                <w:sz w:val="22"/>
              </w:rPr>
              <w:t>Commenced Occupancy Rate (%)</w:t>
            </w:r>
          </w:p>
        </w:tc>
        <w:tc>
          <w:tcPr>
            <w:tcW w:type="dxa" w:w="1234"/>
          </w:tcPr>
          <w:p>
            <w:r>
              <w:rPr>
                <w:rFonts w:ascii="Calibri" w:hAnsi="Calibri"/>
                <w:sz w:val="22"/>
              </w:rPr>
              <w:t>96.2%</w:t>
            </w:r>
          </w:p>
        </w:tc>
        <w:tc>
          <w:tcPr>
            <w:tcW w:type="dxa" w:w="1234"/>
          </w:tcPr>
          <w:p>
            <w:r>
              <w:rPr>
                <w:rFonts w:ascii="Calibri" w:hAnsi="Calibri"/>
                <w:sz w:val="22"/>
              </w:rPr>
              <w:t>96.2%</w:t>
            </w:r>
          </w:p>
        </w:tc>
        <w:tc>
          <w:tcPr>
            <w:tcW w:type="dxa" w:w="1234"/>
          </w:tcPr>
          <w:p>
            <w:r>
              <w:rPr>
                <w:rFonts w:ascii="Calibri" w:hAnsi="Calibri"/>
                <w:sz w:val="22"/>
              </w:rPr>
              <w:t>95.2%</w:t>
            </w:r>
          </w:p>
        </w:tc>
        <w:tc>
          <w:tcPr>
            <w:tcW w:type="dxa" w:w="1234"/>
          </w:tcPr>
          <w:p>
            <w:r>
              <w:rPr>
                <w:rFonts w:ascii="Calibri" w:hAnsi="Calibri"/>
                <w:sz w:val="22"/>
              </w:rPr>
              <w:t>Flat YoY</w:t>
            </w:r>
          </w:p>
        </w:tc>
        <w:tc>
          <w:tcPr>
            <w:tcW w:type="dxa" w:w="1234"/>
          </w:tcPr>
          <w:p>
            <w:r>
              <w:rPr>
                <w:rFonts w:ascii="Calibri" w:hAnsi="Calibri"/>
                <w:sz w:val="22"/>
              </w:rPr>
              <w:t>No specific quarterly guidance</w:t>
            </w:r>
          </w:p>
        </w:tc>
        <w:tc>
          <w:tcPr>
            <w:tcW w:type="dxa" w:w="1234"/>
          </w:tcPr>
          <w:p>
            <w:r>
              <w:rPr>
                <w:rFonts w:ascii="Calibri" w:hAnsi="Calibri"/>
                <w:sz w:val="22"/>
              </w:rPr>
              <w:t>N/A</w:t>
            </w:r>
          </w:p>
        </w:tc>
      </w:tr>
      <w:tr>
        <w:tc>
          <w:tcPr>
            <w:tcW w:type="dxa" w:w="1234"/>
          </w:tcPr>
          <w:p>
            <w:r>
              <w:rPr>
                <w:rFonts w:ascii="Calibri" w:hAnsi="Calibri"/>
                <w:sz w:val="22"/>
              </w:rPr>
              <w:t>Cash Re-Leasing Spread (%)</w:t>
            </w:r>
          </w:p>
        </w:tc>
        <w:tc>
          <w:tcPr>
            <w:tcW w:type="dxa" w:w="1234"/>
          </w:tcPr>
          <w:p>
            <w:r>
              <w:rPr>
                <w:rFonts w:ascii="Calibri" w:hAnsi="Calibri"/>
                <w:sz w:val="22"/>
              </w:rPr>
              <w:t>12.1%</w:t>
            </w:r>
          </w:p>
        </w:tc>
        <w:tc>
          <w:tcPr>
            <w:tcW w:type="dxa" w:w="1234"/>
          </w:tcPr>
          <w:p>
            <w:r>
              <w:rPr>
                <w:rFonts w:ascii="Calibri" w:hAnsi="Calibri"/>
                <w:sz w:val="22"/>
              </w:rPr>
              <w:t>10.0%</w:t>
            </w:r>
          </w:p>
        </w:tc>
        <w:tc>
          <w:tcPr>
            <w:tcW w:type="dxa" w:w="1234"/>
          </w:tcPr>
          <w:p>
            <w:r>
              <w:rPr>
                <w:rFonts w:ascii="Calibri" w:hAnsi="Calibri"/>
                <w:sz w:val="22"/>
              </w:rPr>
              <w:t>11.2%</w:t>
            </w:r>
          </w:p>
        </w:tc>
        <w:tc>
          <w:tcPr>
            <w:tcW w:type="dxa" w:w="1234"/>
          </w:tcPr>
          <w:p>
            <w:r>
              <w:rPr>
                <w:rFonts w:ascii="Calibri" w:hAnsi="Calibri"/>
                <w:sz w:val="22"/>
              </w:rPr>
              <w:t>+120 bps YoY</w:t>
            </w:r>
          </w:p>
        </w:tc>
        <w:tc>
          <w:tcPr>
            <w:tcW w:type="dxa" w:w="1234"/>
          </w:tcPr>
          <w:p>
            <w:r>
              <w:rPr>
                <w:rFonts w:ascii="Calibri" w:hAnsi="Calibri"/>
                <w:sz w:val="22"/>
              </w:rPr>
              <w:t>No specific quarterly guidance</w:t>
            </w:r>
          </w:p>
        </w:tc>
        <w:tc>
          <w:tcPr>
            <w:tcW w:type="dxa" w:w="1234"/>
          </w:tcPr>
          <w:p>
            <w:r>
              <w:rPr>
                <w:rFonts w:ascii="Calibri" w:hAnsi="Calibri"/>
                <w:sz w:val="22"/>
              </w:rPr>
              <w:t>N/A</w:t>
            </w:r>
          </w:p>
        </w:tc>
      </w:tr>
      <w:tr>
        <w:tc>
          <w:tcPr>
            <w:tcW w:type="dxa" w:w="1234"/>
          </w:tcPr>
          <w:p>
            <w:r>
              <w:rPr>
                <w:rFonts w:ascii="Calibri" w:hAnsi="Calibri"/>
                <w:sz w:val="22"/>
              </w:rPr>
              <w:t>Total Revenue ($M)</w:t>
            </w:r>
          </w:p>
        </w:tc>
        <w:tc>
          <w:tcPr>
            <w:tcW w:type="dxa" w:w="1234"/>
          </w:tcPr>
          <w:p>
            <w:r>
              <w:rPr>
                <w:rFonts w:ascii="Calibri" w:hAnsi="Calibri"/>
                <w:sz w:val="22"/>
              </w:rPr>
              <w:t>$405.5M</w:t>
            </w:r>
          </w:p>
        </w:tc>
        <w:tc>
          <w:tcPr>
            <w:tcW w:type="dxa" w:w="1234"/>
          </w:tcPr>
          <w:p>
            <w:r>
              <w:rPr>
                <w:rFonts w:ascii="Calibri" w:hAnsi="Calibri"/>
                <w:sz w:val="22"/>
              </w:rPr>
              <w:t>$373.6M</w:t>
            </w:r>
          </w:p>
        </w:tc>
        <w:tc>
          <w:tcPr>
            <w:tcW w:type="dxa" w:w="1234"/>
          </w:tcPr>
          <w:p>
            <w:r>
              <w:rPr>
                <w:rFonts w:ascii="Calibri" w:hAnsi="Calibri"/>
                <w:sz w:val="22"/>
              </w:rPr>
              <w:t>$400.5M</w:t>
            </w:r>
          </w:p>
        </w:tc>
        <w:tc>
          <w:tcPr>
            <w:tcW w:type="dxa" w:w="1234"/>
          </w:tcPr>
          <w:p>
            <w:r>
              <w:rPr>
                <w:rFonts w:ascii="Calibri" w:hAnsi="Calibri"/>
                <w:sz w:val="22"/>
              </w:rPr>
              <w:t>+7.2% YoY</w:t>
            </w:r>
          </w:p>
        </w:tc>
        <w:tc>
          <w:tcPr>
            <w:tcW w:type="dxa" w:w="1234"/>
          </w:tcPr>
          <w:p>
            <w:r>
              <w:rPr>
                <w:rFonts w:ascii="Calibri" w:hAnsi="Calibri"/>
                <w:sz w:val="22"/>
              </w:rPr>
              <w:t>FY 2026 consensus: $1,623.9M</w:t>
            </w:r>
          </w:p>
        </w:tc>
        <w:tc>
          <w:tcPr>
            <w:tcW w:type="dxa" w:w="1234"/>
          </w:tcPr>
          <w:p>
            <w:r>
              <w:rPr>
                <w:rFonts w:ascii="Calibri" w:hAnsi="Calibri"/>
                <w:sz w:val="22"/>
              </w:rPr>
              <w:t>In line</w:t>
            </w:r>
          </w:p>
        </w:tc>
      </w:tr>
    </w:tbl>
    <w:p>
      <w:r>
        <w:rPr>
          <w:rFonts w:ascii="Calibri" w:hAnsi="Calibri"/>
          <w:i/>
          <w:color w:val="525866"/>
          <w:sz w:val="22"/>
        </w:rPr>
        <w:t>Sources: Visible Alpha consensus and actuals data. Operating FFO per share and Total Revenue sourced from Visible Alpha IS/OP datasets. Same-Property NOI Growth, Occupancy Rate, and Cash Leasing Spread sourced from Visible Alpha OP/LE datasets. Q2 2026 consensus as of July 29, 2026. Q1 2026 actuals as reported April 29, 2026. FY 2026 guidance as stated on Q1 2026 earnings call (April 29–30, 2026) and reaffirmed at Nareit REITweek (June 2, 2026).</w:t>
      </w:r>
    </w:p>
    <w:p>
      <w:pPr>
        <w:pStyle w:val="Heading3"/>
      </w:pPr>
      <w:r>
        <w:rPr>
          <w:rFonts w:ascii="Calibri" w:hAnsi="Calibri"/>
          <w:b/>
          <w:color w:val="3B4259"/>
          <w:sz w:val="24"/>
        </w:rPr>
        <w:t>Table 2 — Beat/Miss History: Last 8 Quarters (Operating FFO per Share &amp; Same-Property NOI Growth)</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Quarter</w:t>
            </w:r>
          </w:p>
        </w:tc>
        <w:tc>
          <w:tcPr>
            <w:tcW w:type="dxa" w:w="1080"/>
            <w:shd w:val="clear" w:color="auto" w:fill="3B4259"/>
          </w:tcPr>
          <w:p>
            <w:r>
              <w:rPr>
                <w:rFonts w:ascii="Calibri" w:hAnsi="Calibri"/>
                <w:b/>
                <w:color w:val="FFFFFF"/>
                <w:sz w:val="22"/>
              </w:rPr>
              <w:t>Op. FFO Reported</w:t>
            </w:r>
          </w:p>
        </w:tc>
        <w:tc>
          <w:tcPr>
            <w:tcW w:type="dxa" w:w="1080"/>
            <w:shd w:val="clear" w:color="auto" w:fill="3B4259"/>
          </w:tcPr>
          <w:p>
            <w:r>
              <w:rPr>
                <w:rFonts w:ascii="Calibri" w:hAnsi="Calibri"/>
                <w:b/>
                <w:color w:val="FFFFFF"/>
                <w:sz w:val="22"/>
              </w:rPr>
              <w:t>Op. FFO Consensus</w:t>
            </w:r>
          </w:p>
        </w:tc>
        <w:tc>
          <w:tcPr>
            <w:tcW w:type="dxa" w:w="1080"/>
            <w:shd w:val="clear" w:color="auto" w:fill="3B4259"/>
          </w:tcPr>
          <w:p>
            <w:r>
              <w:rPr>
                <w:rFonts w:ascii="Calibri" w:hAnsi="Calibri"/>
                <w:b/>
                <w:color w:val="FFFFFF"/>
                <w:sz w:val="22"/>
              </w:rPr>
              <w:t>FFO Surprise %</w:t>
            </w:r>
          </w:p>
        </w:tc>
        <w:tc>
          <w:tcPr>
            <w:tcW w:type="dxa" w:w="1080"/>
            <w:shd w:val="clear" w:color="auto" w:fill="3B4259"/>
          </w:tcPr>
          <w:p>
            <w:r>
              <w:rPr>
                <w:rFonts w:ascii="Calibri" w:hAnsi="Calibri"/>
                <w:b/>
                <w:color w:val="FFFFFF"/>
                <w:sz w:val="22"/>
              </w:rPr>
              <w:t>SS NOI Growth Reported</w:t>
            </w:r>
          </w:p>
        </w:tc>
        <w:tc>
          <w:tcPr>
            <w:tcW w:type="dxa" w:w="1080"/>
            <w:shd w:val="clear" w:color="auto" w:fill="3B4259"/>
          </w:tcPr>
          <w:p>
            <w:r>
              <w:rPr>
                <w:rFonts w:ascii="Calibri" w:hAnsi="Calibri"/>
                <w:b/>
                <w:color w:val="FFFFFF"/>
                <w:sz w:val="22"/>
              </w:rPr>
              <w:t>SS NOI Consensus</w:t>
            </w:r>
          </w:p>
        </w:tc>
        <w:tc>
          <w:tcPr>
            <w:tcW w:type="dxa" w:w="1080"/>
            <w:shd w:val="clear" w:color="auto" w:fill="3B4259"/>
          </w:tcPr>
          <w:p>
            <w:r>
              <w:rPr>
                <w:rFonts w:ascii="Calibri" w:hAnsi="Calibri"/>
                <w:b/>
                <w:color w:val="FFFFFF"/>
                <w:sz w:val="22"/>
              </w:rPr>
              <w:t>SS NOI Surprise</w:t>
            </w:r>
          </w:p>
        </w:tc>
        <w:tc>
          <w:tcPr>
            <w:tcW w:type="dxa" w:w="1080"/>
            <w:shd w:val="clear" w:color="auto" w:fill="3B4259"/>
          </w:tcPr>
          <w:p>
            <w:r>
              <w:rPr>
                <w:rFonts w:ascii="Calibri" w:hAnsi="Calibri"/>
                <w:b/>
                <w:color w:val="FFFFFF"/>
                <w:sz w:val="22"/>
              </w:rPr>
              <w:t>Result</w:t>
            </w:r>
          </w:p>
        </w:tc>
      </w:tr>
      <w:tr>
        <w:tc>
          <w:tcPr>
            <w:tcW w:type="dxa" w:w="1080"/>
          </w:tcPr>
          <w:p>
            <w:r>
              <w:rPr>
                <w:rFonts w:ascii="Calibri" w:hAnsi="Calibri"/>
                <w:sz w:val="22"/>
              </w:rPr>
              <w:t>Q2 2024</w:t>
            </w:r>
          </w:p>
        </w:tc>
        <w:tc>
          <w:tcPr>
            <w:tcW w:type="dxa" w:w="1080"/>
          </w:tcPr>
          <w:p>
            <w:r>
              <w:rPr>
                <w:rFonts w:ascii="Calibri" w:hAnsi="Calibri"/>
                <w:sz w:val="22"/>
              </w:rPr>
              <w:t>$1.02</w:t>
            </w:r>
          </w:p>
        </w:tc>
        <w:tc>
          <w:tcPr>
            <w:tcW w:type="dxa" w:w="1080"/>
          </w:tcPr>
          <w:p>
            <w:r>
              <w:rPr>
                <w:rFonts w:ascii="Calibri" w:hAnsi="Calibri"/>
                <w:sz w:val="22"/>
              </w:rPr>
              <w:t>$0.99</w:t>
            </w:r>
          </w:p>
        </w:tc>
        <w:tc>
          <w:tcPr>
            <w:tcW w:type="dxa" w:w="1080"/>
          </w:tcPr>
          <w:p>
            <w:r>
              <w:rPr>
                <w:rFonts w:ascii="Calibri" w:hAnsi="Calibri"/>
                <w:b/>
                <w:color w:val="30A46C"/>
                <w:sz w:val="22"/>
              </w:rPr>
              <w:t>+2.7%</w:t>
            </w:r>
          </w:p>
        </w:tc>
        <w:tc>
          <w:tcPr>
            <w:tcW w:type="dxa" w:w="1080"/>
          </w:tcPr>
          <w:p>
            <w:r>
              <w:rPr>
                <w:rFonts w:ascii="Calibri" w:hAnsi="Calibri"/>
                <w:sz w:val="22"/>
              </w:rPr>
              <w:t>3.3%</w:t>
            </w:r>
          </w:p>
        </w:tc>
        <w:tc>
          <w:tcPr>
            <w:tcW w:type="dxa" w:w="1080"/>
          </w:tcPr>
          <w:p>
            <w:r>
              <w:rPr>
                <w:rFonts w:ascii="Calibri" w:hAnsi="Calibri"/>
                <w:sz w:val="22"/>
              </w:rPr>
              <w:t>14.3%*</w:t>
            </w:r>
          </w:p>
        </w:tc>
        <w:tc>
          <w:tcPr>
            <w:tcW w:type="dxa" w:w="1080"/>
          </w:tcPr>
          <w:p>
            <w:r>
              <w:rPr>
                <w:rFonts w:ascii="Calibri" w:hAnsi="Calibri"/>
                <w:sz w:val="22"/>
              </w:rPr>
              <w:t>N/A (stale est.)</w:t>
            </w:r>
          </w:p>
        </w:tc>
        <w:tc>
          <w:tcPr>
            <w:tcW w:type="dxa" w:w="1080"/>
          </w:tcPr>
          <w:p>
            <w:r>
              <w:rPr>
                <w:rFonts w:ascii="Calibri" w:hAnsi="Calibri"/>
                <w:sz w:val="22"/>
              </w:rPr>
              <w:t>Beat FFO</w:t>
            </w:r>
          </w:p>
        </w:tc>
      </w:tr>
      <w:tr>
        <w:tc>
          <w:tcPr>
            <w:tcW w:type="dxa" w:w="1080"/>
          </w:tcPr>
          <w:p>
            <w:r>
              <w:rPr>
                <w:rFonts w:ascii="Calibri" w:hAnsi="Calibri"/>
                <w:sz w:val="22"/>
              </w:rPr>
              <w:t>Q3 2024</w:t>
            </w:r>
          </w:p>
        </w:tc>
        <w:tc>
          <w:tcPr>
            <w:tcW w:type="dxa" w:w="1080"/>
          </w:tcPr>
          <w:p>
            <w:r>
              <w:rPr>
                <w:rFonts w:ascii="Calibri" w:hAnsi="Calibri"/>
                <w:sz w:val="22"/>
              </w:rPr>
              <w:t>$1.03</w:t>
            </w:r>
          </w:p>
        </w:tc>
        <w:tc>
          <w:tcPr>
            <w:tcW w:type="dxa" w:w="1080"/>
          </w:tcPr>
          <w:p>
            <w:r>
              <w:rPr>
                <w:rFonts w:ascii="Calibri" w:hAnsi="Calibri"/>
                <w:sz w:val="22"/>
              </w:rPr>
              <w:t>$1.01</w:t>
            </w:r>
          </w:p>
        </w:tc>
        <w:tc>
          <w:tcPr>
            <w:tcW w:type="dxa" w:w="1080"/>
          </w:tcPr>
          <w:p>
            <w:r>
              <w:rPr>
                <w:rFonts w:ascii="Calibri" w:hAnsi="Calibri"/>
                <w:b/>
                <w:color w:val="30A46C"/>
                <w:sz w:val="22"/>
              </w:rPr>
              <w:t>+2.2%</w:t>
            </w:r>
          </w:p>
        </w:tc>
        <w:tc>
          <w:tcPr>
            <w:tcW w:type="dxa" w:w="1080"/>
          </w:tcPr>
          <w:p>
            <w:r>
              <w:rPr>
                <w:rFonts w:ascii="Calibri" w:hAnsi="Calibri"/>
                <w:sz w:val="22"/>
              </w:rPr>
              <w:t>4.9%</w:t>
            </w:r>
          </w:p>
        </w:tc>
        <w:tc>
          <w:tcPr>
            <w:tcW w:type="dxa" w:w="1080"/>
          </w:tcPr>
          <w:p>
            <w:r>
              <w:rPr>
                <w:rFonts w:ascii="Calibri" w:hAnsi="Calibri"/>
                <w:sz w:val="22"/>
              </w:rPr>
              <w:t>9.5%*</w:t>
            </w:r>
          </w:p>
        </w:tc>
        <w:tc>
          <w:tcPr>
            <w:tcW w:type="dxa" w:w="1080"/>
          </w:tcPr>
          <w:p>
            <w:r>
              <w:rPr>
                <w:rFonts w:ascii="Calibri" w:hAnsi="Calibri"/>
                <w:sz w:val="22"/>
              </w:rPr>
              <w:t>N/A (stale est.)</w:t>
            </w:r>
          </w:p>
        </w:tc>
        <w:tc>
          <w:tcPr>
            <w:tcW w:type="dxa" w:w="1080"/>
          </w:tcPr>
          <w:p>
            <w:r>
              <w:rPr>
                <w:rFonts w:ascii="Calibri" w:hAnsi="Calibri"/>
                <w:sz w:val="22"/>
              </w:rPr>
              <w:t>Beat FFO</w:t>
            </w:r>
          </w:p>
        </w:tc>
      </w:tr>
      <w:tr>
        <w:tc>
          <w:tcPr>
            <w:tcW w:type="dxa" w:w="1080"/>
          </w:tcPr>
          <w:p>
            <w:r>
              <w:rPr>
                <w:rFonts w:ascii="Calibri" w:hAnsi="Calibri"/>
                <w:sz w:val="22"/>
              </w:rPr>
              <w:t>Q4 2024</w:t>
            </w:r>
          </w:p>
        </w:tc>
        <w:tc>
          <w:tcPr>
            <w:tcW w:type="dxa" w:w="1080"/>
          </w:tcPr>
          <w:p>
            <w:r>
              <w:rPr>
                <w:rFonts w:ascii="Calibri" w:hAnsi="Calibri"/>
                <w:sz w:val="22"/>
              </w:rPr>
              <w:t>$1.04</w:t>
            </w:r>
          </w:p>
        </w:tc>
        <w:tc>
          <w:tcPr>
            <w:tcW w:type="dxa" w:w="1080"/>
          </w:tcPr>
          <w:p>
            <w:r>
              <w:rPr>
                <w:rFonts w:ascii="Calibri" w:hAnsi="Calibri"/>
                <w:sz w:val="22"/>
              </w:rPr>
              <w:t>$1.04</w:t>
            </w:r>
          </w:p>
        </w:tc>
        <w:tc>
          <w:tcPr>
            <w:tcW w:type="dxa" w:w="1080"/>
          </w:tcPr>
          <w:p>
            <w:r>
              <w:rPr>
                <w:rFonts w:ascii="Calibri" w:hAnsi="Calibri"/>
                <w:sz w:val="22"/>
              </w:rPr>
              <w:t>0.0%</w:t>
            </w:r>
          </w:p>
        </w:tc>
        <w:tc>
          <w:tcPr>
            <w:tcW w:type="dxa" w:w="1080"/>
          </w:tcPr>
          <w:p>
            <w:r>
              <w:rPr>
                <w:rFonts w:ascii="Calibri" w:hAnsi="Calibri"/>
                <w:sz w:val="22"/>
              </w:rPr>
              <w:t>4.0%</w:t>
            </w:r>
          </w:p>
        </w:tc>
        <w:tc>
          <w:tcPr>
            <w:tcW w:type="dxa" w:w="1080"/>
          </w:tcPr>
          <w:p>
            <w:r>
              <w:rPr>
                <w:rFonts w:ascii="Calibri" w:hAnsi="Calibri"/>
                <w:sz w:val="22"/>
              </w:rPr>
              <w:t>4.9%</w:t>
            </w:r>
          </w:p>
        </w:tc>
        <w:tc>
          <w:tcPr>
            <w:tcW w:type="dxa" w:w="1080"/>
          </w:tcPr>
          <w:p>
            <w:r>
              <w:rPr>
                <w:rFonts w:ascii="Calibri" w:hAnsi="Calibri"/>
                <w:b/>
                <w:color w:val="E5484D"/>
                <w:sz w:val="22"/>
              </w:rPr>
              <w:t>-90 bps</w:t>
            </w:r>
          </w:p>
        </w:tc>
        <w:tc>
          <w:tcPr>
            <w:tcW w:type="dxa" w:w="1080"/>
          </w:tcPr>
          <w:p>
            <w:r>
              <w:rPr>
                <w:rFonts w:ascii="Calibri" w:hAnsi="Calibri"/>
                <w:sz w:val="22"/>
              </w:rPr>
              <w:t>In Line / Miss SS NOI</w:t>
            </w:r>
          </w:p>
        </w:tc>
      </w:tr>
      <w:tr>
        <w:tc>
          <w:tcPr>
            <w:tcW w:type="dxa" w:w="1080"/>
          </w:tcPr>
          <w:p>
            <w:r>
              <w:rPr>
                <w:rFonts w:ascii="Calibri" w:hAnsi="Calibri"/>
                <w:sz w:val="22"/>
              </w:rPr>
              <w:t>Q1 2025</w:t>
            </w:r>
          </w:p>
        </w:tc>
        <w:tc>
          <w:tcPr>
            <w:tcW w:type="dxa" w:w="1080"/>
          </w:tcPr>
          <w:p>
            <w:r>
              <w:rPr>
                <w:rFonts w:ascii="Calibri" w:hAnsi="Calibri"/>
                <w:sz w:val="22"/>
              </w:rPr>
              <w:t>$1.09</w:t>
            </w:r>
          </w:p>
        </w:tc>
        <w:tc>
          <w:tcPr>
            <w:tcW w:type="dxa" w:w="1080"/>
          </w:tcPr>
          <w:p>
            <w:r>
              <w:rPr>
                <w:rFonts w:ascii="Calibri" w:hAnsi="Calibri"/>
                <w:sz w:val="22"/>
              </w:rPr>
              <w:t>$1.08</w:t>
            </w:r>
          </w:p>
        </w:tc>
        <w:tc>
          <w:tcPr>
            <w:tcW w:type="dxa" w:w="1080"/>
          </w:tcPr>
          <w:p>
            <w:r>
              <w:rPr>
                <w:rFonts w:ascii="Calibri" w:hAnsi="Calibri"/>
                <w:b/>
                <w:color w:val="30A46C"/>
                <w:sz w:val="22"/>
              </w:rPr>
              <w:t>+1.0%</w:t>
            </w:r>
          </w:p>
        </w:tc>
        <w:tc>
          <w:tcPr>
            <w:tcW w:type="dxa" w:w="1080"/>
          </w:tcPr>
          <w:p>
            <w:r>
              <w:rPr>
                <w:rFonts w:ascii="Calibri" w:hAnsi="Calibri"/>
                <w:sz w:val="22"/>
              </w:rPr>
              <w:t>4.3%</w:t>
            </w:r>
          </w:p>
        </w:tc>
        <w:tc>
          <w:tcPr>
            <w:tcW w:type="dxa" w:w="1080"/>
          </w:tcPr>
          <w:p>
            <w:r>
              <w:rPr>
                <w:rFonts w:ascii="Calibri" w:hAnsi="Calibri"/>
                <w:sz w:val="22"/>
              </w:rPr>
              <w:t>3.0%</w:t>
            </w:r>
          </w:p>
        </w:tc>
        <w:tc>
          <w:tcPr>
            <w:tcW w:type="dxa" w:w="1080"/>
          </w:tcPr>
          <w:p>
            <w:r>
              <w:rPr>
                <w:rFonts w:ascii="Calibri" w:hAnsi="Calibri"/>
                <w:b/>
                <w:color w:val="30A46C"/>
                <w:sz w:val="22"/>
              </w:rPr>
              <w:t>+130 bps</w:t>
            </w:r>
          </w:p>
        </w:tc>
        <w:tc>
          <w:tcPr>
            <w:tcW w:type="dxa" w:w="1080"/>
          </w:tcPr>
          <w:p>
            <w:r>
              <w:rPr>
                <w:rFonts w:ascii="Calibri" w:hAnsi="Calibri"/>
                <w:sz w:val="22"/>
              </w:rPr>
              <w:t>Beat</w:t>
            </w:r>
          </w:p>
        </w:tc>
      </w:tr>
      <w:tr>
        <w:tc>
          <w:tcPr>
            <w:tcW w:type="dxa" w:w="1080"/>
          </w:tcPr>
          <w:p>
            <w:r>
              <w:rPr>
                <w:rFonts w:ascii="Calibri" w:hAnsi="Calibri"/>
                <w:sz w:val="22"/>
              </w:rPr>
              <w:t>Q2 2025</w:t>
            </w:r>
          </w:p>
        </w:tc>
        <w:tc>
          <w:tcPr>
            <w:tcW w:type="dxa" w:w="1080"/>
          </w:tcPr>
          <w:p>
            <w:r>
              <w:rPr>
                <w:rFonts w:ascii="Calibri" w:hAnsi="Calibri"/>
                <w:sz w:val="22"/>
              </w:rPr>
              <w:t>$1.10</w:t>
            </w:r>
          </w:p>
        </w:tc>
        <w:tc>
          <w:tcPr>
            <w:tcW w:type="dxa" w:w="1080"/>
          </w:tcPr>
          <w:p>
            <w:r>
              <w:rPr>
                <w:rFonts w:ascii="Calibri" w:hAnsi="Calibri"/>
                <w:sz w:val="22"/>
              </w:rPr>
              <w:t>$1.07</w:t>
            </w:r>
          </w:p>
        </w:tc>
        <w:tc>
          <w:tcPr>
            <w:tcW w:type="dxa" w:w="1080"/>
          </w:tcPr>
          <w:p>
            <w:r>
              <w:rPr>
                <w:rFonts w:ascii="Calibri" w:hAnsi="Calibri"/>
                <w:b/>
                <w:color w:val="30A46C"/>
                <w:sz w:val="22"/>
              </w:rPr>
              <w:t>+2.8%</w:t>
            </w:r>
          </w:p>
        </w:tc>
        <w:tc>
          <w:tcPr>
            <w:tcW w:type="dxa" w:w="1080"/>
          </w:tcPr>
          <w:p>
            <w:r>
              <w:rPr>
                <w:rFonts w:ascii="Calibri" w:hAnsi="Calibri"/>
                <w:sz w:val="22"/>
              </w:rPr>
              <w:t>7.4%</w:t>
            </w:r>
          </w:p>
        </w:tc>
        <w:tc>
          <w:tcPr>
            <w:tcW w:type="dxa" w:w="1080"/>
          </w:tcPr>
          <w:p>
            <w:r>
              <w:rPr>
                <w:rFonts w:ascii="Calibri" w:hAnsi="Calibri"/>
                <w:sz w:val="22"/>
              </w:rPr>
              <w:t>5.4%</w:t>
            </w:r>
          </w:p>
        </w:tc>
        <w:tc>
          <w:tcPr>
            <w:tcW w:type="dxa" w:w="1080"/>
          </w:tcPr>
          <w:p>
            <w:r>
              <w:rPr>
                <w:rFonts w:ascii="Calibri" w:hAnsi="Calibri"/>
                <w:b/>
                <w:color w:val="30A46C"/>
                <w:sz w:val="22"/>
              </w:rPr>
              <w:t>+200 bps</w:t>
            </w:r>
          </w:p>
        </w:tc>
        <w:tc>
          <w:tcPr>
            <w:tcW w:type="dxa" w:w="1080"/>
          </w:tcPr>
          <w:p>
            <w:r>
              <w:rPr>
                <w:rFonts w:ascii="Calibri" w:hAnsi="Calibri"/>
                <w:sz w:val="22"/>
              </w:rPr>
              <w:t>Beat</w:t>
            </w:r>
          </w:p>
        </w:tc>
      </w:tr>
      <w:tr>
        <w:tc>
          <w:tcPr>
            <w:tcW w:type="dxa" w:w="1080"/>
          </w:tcPr>
          <w:p>
            <w:r>
              <w:rPr>
                <w:rFonts w:ascii="Calibri" w:hAnsi="Calibri"/>
                <w:sz w:val="22"/>
              </w:rPr>
              <w:t>Q3 2025</w:t>
            </w:r>
          </w:p>
        </w:tc>
        <w:tc>
          <w:tcPr>
            <w:tcW w:type="dxa" w:w="1080"/>
          </w:tcPr>
          <w:p>
            <w:r>
              <w:rPr>
                <w:rFonts w:ascii="Calibri" w:hAnsi="Calibri"/>
                <w:sz w:val="22"/>
              </w:rPr>
              <w:t>$1.09</w:t>
            </w:r>
          </w:p>
        </w:tc>
        <w:tc>
          <w:tcPr>
            <w:tcW w:type="dxa" w:w="1080"/>
          </w:tcPr>
          <w:p>
            <w:r>
              <w:rPr>
                <w:rFonts w:ascii="Calibri" w:hAnsi="Calibri"/>
                <w:sz w:val="22"/>
              </w:rPr>
              <w:t>$1.09</w:t>
            </w:r>
          </w:p>
        </w:tc>
        <w:tc>
          <w:tcPr>
            <w:tcW w:type="dxa" w:w="1080"/>
          </w:tcPr>
          <w:p>
            <w:r>
              <w:rPr>
                <w:rFonts w:ascii="Calibri" w:hAnsi="Calibri"/>
                <w:sz w:val="22"/>
              </w:rPr>
              <w:t>0.0%</w:t>
            </w:r>
          </w:p>
        </w:tc>
        <w:tc>
          <w:tcPr>
            <w:tcW w:type="dxa" w:w="1080"/>
          </w:tcPr>
          <w:p>
            <w:r>
              <w:rPr>
                <w:rFonts w:ascii="Calibri" w:hAnsi="Calibri"/>
                <w:sz w:val="22"/>
              </w:rPr>
              <w:t>4.8%</w:t>
            </w:r>
          </w:p>
        </w:tc>
        <w:tc>
          <w:tcPr>
            <w:tcW w:type="dxa" w:w="1080"/>
          </w:tcPr>
          <w:p>
            <w:r>
              <w:rPr>
                <w:rFonts w:ascii="Calibri" w:hAnsi="Calibri"/>
                <w:sz w:val="22"/>
              </w:rPr>
              <w:t>4.3%</w:t>
            </w:r>
          </w:p>
        </w:tc>
        <w:tc>
          <w:tcPr>
            <w:tcW w:type="dxa" w:w="1080"/>
          </w:tcPr>
          <w:p>
            <w:r>
              <w:rPr>
                <w:rFonts w:ascii="Calibri" w:hAnsi="Calibri"/>
                <w:b/>
                <w:color w:val="30A46C"/>
                <w:sz w:val="22"/>
              </w:rPr>
              <w:t>+50 bps</w:t>
            </w:r>
          </w:p>
        </w:tc>
        <w:tc>
          <w:tcPr>
            <w:tcW w:type="dxa" w:w="1080"/>
          </w:tcPr>
          <w:p>
            <w:r>
              <w:rPr>
                <w:rFonts w:ascii="Calibri" w:hAnsi="Calibri"/>
                <w:sz w:val="22"/>
              </w:rPr>
              <w:t>In Line / Beat SS NOI</w:t>
            </w:r>
          </w:p>
        </w:tc>
      </w:tr>
      <w:tr>
        <w:tc>
          <w:tcPr>
            <w:tcW w:type="dxa" w:w="1080"/>
          </w:tcPr>
          <w:p>
            <w:r>
              <w:rPr>
                <w:rFonts w:ascii="Calibri" w:hAnsi="Calibri"/>
                <w:sz w:val="22"/>
              </w:rPr>
              <w:t>Q4 2025</w:t>
            </w:r>
          </w:p>
        </w:tc>
        <w:tc>
          <w:tcPr>
            <w:tcW w:type="dxa" w:w="1080"/>
          </w:tcPr>
          <w:p>
            <w:r>
              <w:rPr>
                <w:rFonts w:ascii="Calibri" w:hAnsi="Calibri"/>
                <w:sz w:val="22"/>
              </w:rPr>
              <w:t>$1.12</w:t>
            </w:r>
          </w:p>
        </w:tc>
        <w:tc>
          <w:tcPr>
            <w:tcW w:type="dxa" w:w="1080"/>
          </w:tcPr>
          <w:p>
            <w:r>
              <w:rPr>
                <w:rFonts w:ascii="Calibri" w:hAnsi="Calibri"/>
                <w:sz w:val="22"/>
              </w:rPr>
              <w:t>$1.11</w:t>
            </w:r>
          </w:p>
        </w:tc>
        <w:tc>
          <w:tcPr>
            <w:tcW w:type="dxa" w:w="1080"/>
          </w:tcPr>
          <w:p>
            <w:r>
              <w:rPr>
                <w:rFonts w:ascii="Calibri" w:hAnsi="Calibri"/>
                <w:b/>
                <w:color w:val="30A46C"/>
                <w:sz w:val="22"/>
              </w:rPr>
              <w:t>+0.7%</w:t>
            </w:r>
          </w:p>
        </w:tc>
        <w:tc>
          <w:tcPr>
            <w:tcW w:type="dxa" w:w="1080"/>
          </w:tcPr>
          <w:p>
            <w:r>
              <w:rPr>
                <w:rFonts w:ascii="Calibri" w:hAnsi="Calibri"/>
                <w:sz w:val="22"/>
              </w:rPr>
              <w:t>4.7%</w:t>
            </w:r>
          </w:p>
        </w:tc>
        <w:tc>
          <w:tcPr>
            <w:tcW w:type="dxa" w:w="1080"/>
          </w:tcPr>
          <w:p>
            <w:r>
              <w:rPr>
                <w:rFonts w:ascii="Calibri" w:hAnsi="Calibri"/>
                <w:sz w:val="22"/>
              </w:rPr>
              <w:t>5.5%</w:t>
            </w:r>
          </w:p>
        </w:tc>
        <w:tc>
          <w:tcPr>
            <w:tcW w:type="dxa" w:w="1080"/>
          </w:tcPr>
          <w:p>
            <w:r>
              <w:rPr>
                <w:rFonts w:ascii="Calibri" w:hAnsi="Calibri"/>
                <w:b/>
                <w:color w:val="E5484D"/>
                <w:sz w:val="22"/>
              </w:rPr>
              <w:t>-80 bps</w:t>
            </w:r>
          </w:p>
        </w:tc>
        <w:tc>
          <w:tcPr>
            <w:tcW w:type="dxa" w:w="1080"/>
          </w:tcPr>
          <w:p>
            <w:r>
              <w:rPr>
                <w:rFonts w:ascii="Calibri" w:hAnsi="Calibri"/>
                <w:sz w:val="22"/>
              </w:rPr>
              <w:t>Beat FFO / Miss SS NOI</w:t>
            </w:r>
          </w:p>
        </w:tc>
      </w:tr>
      <w:tr>
        <w:tc>
          <w:tcPr>
            <w:tcW w:type="dxa" w:w="1080"/>
          </w:tcPr>
          <w:p>
            <w:r>
              <w:rPr>
                <w:rFonts w:ascii="Calibri" w:hAnsi="Calibri"/>
                <w:sz w:val="22"/>
              </w:rPr>
              <w:t>Q1 2026</w:t>
            </w:r>
          </w:p>
        </w:tc>
        <w:tc>
          <w:tcPr>
            <w:tcW w:type="dxa" w:w="1080"/>
          </w:tcPr>
          <w:p>
            <w:r>
              <w:rPr>
                <w:rFonts w:ascii="Calibri" w:hAnsi="Calibri"/>
                <w:sz w:val="22"/>
              </w:rPr>
              <w:t>$1.16</w:t>
            </w:r>
          </w:p>
        </w:tc>
        <w:tc>
          <w:tcPr>
            <w:tcW w:type="dxa" w:w="1080"/>
          </w:tcPr>
          <w:p>
            <w:r>
              <w:rPr>
                <w:rFonts w:ascii="Calibri" w:hAnsi="Calibri"/>
                <w:sz w:val="22"/>
              </w:rPr>
              <w:t>$1.15</w:t>
            </w:r>
          </w:p>
        </w:tc>
        <w:tc>
          <w:tcPr>
            <w:tcW w:type="dxa" w:w="1080"/>
          </w:tcPr>
          <w:p>
            <w:r>
              <w:rPr>
                <w:rFonts w:ascii="Calibri" w:hAnsi="Calibri"/>
                <w:b/>
                <w:color w:val="30A46C"/>
                <w:sz w:val="22"/>
              </w:rPr>
              <w:t>+0.9%</w:t>
            </w:r>
          </w:p>
        </w:tc>
        <w:tc>
          <w:tcPr>
            <w:tcW w:type="dxa" w:w="1080"/>
          </w:tcPr>
          <w:p>
            <w:r>
              <w:rPr>
                <w:rFonts w:ascii="Calibri" w:hAnsi="Calibri"/>
                <w:sz w:val="22"/>
              </w:rPr>
              <w:t>4.4%</w:t>
            </w:r>
          </w:p>
        </w:tc>
        <w:tc>
          <w:tcPr>
            <w:tcW w:type="dxa" w:w="1080"/>
          </w:tcPr>
          <w:p>
            <w:r>
              <w:rPr>
                <w:rFonts w:ascii="Calibri" w:hAnsi="Calibri"/>
                <w:sz w:val="22"/>
              </w:rPr>
              <w:t>5.0%</w:t>
            </w:r>
          </w:p>
        </w:tc>
        <w:tc>
          <w:tcPr>
            <w:tcW w:type="dxa" w:w="1080"/>
          </w:tcPr>
          <w:p>
            <w:r>
              <w:rPr>
                <w:rFonts w:ascii="Calibri" w:hAnsi="Calibri"/>
                <w:b/>
                <w:color w:val="E5484D"/>
                <w:sz w:val="22"/>
              </w:rPr>
              <w:t>-60 bps</w:t>
            </w:r>
          </w:p>
        </w:tc>
        <w:tc>
          <w:tcPr>
            <w:tcW w:type="dxa" w:w="1080"/>
          </w:tcPr>
          <w:p>
            <w:r>
              <w:rPr>
                <w:rFonts w:ascii="Calibri" w:hAnsi="Calibri"/>
                <w:sz w:val="22"/>
              </w:rPr>
              <w:t>Beat FFO / Miss SS NOI</w:t>
            </w:r>
          </w:p>
        </w:tc>
      </w:tr>
    </w:tbl>
    <w:p>
      <w:r>
        <w:rPr>
          <w:rFonts w:ascii="Calibri" w:hAnsi="Calibri"/>
          <w:i/>
          <w:color w:val="525866"/>
          <w:sz w:val="22"/>
        </w:rPr>
        <w:t>* Q2 and Q3 2024 SS NOI consensus estimates appear stale/outlier in Visible Alpha; surprise calculation not meaningful for those periods. Source: Visible Alpha consensus and actuals data.</w:t>
      </w:r>
    </w:p>
    <w:p>
      <w:r>
        <w:rPr>
          <w:rFonts w:ascii="Calibri" w:hAnsi="Calibri"/>
          <w:b/>
          <w:color w:val="525866"/>
          <w:sz w:val="22"/>
        </w:rPr>
        <w:t xml:space="preserve">Pattern: </w:t>
      </w:r>
      <w:r>
        <w:rPr>
          <w:rFonts w:ascii="Calibri" w:hAnsi="Calibri"/>
          <w:color w:val="525866"/>
          <w:sz w:val="22"/>
        </w:rPr>
        <w:t>REG has beaten Operating FFO consensus in 7 of the last 8 quarters, with the sole in-line quarter in Q3 2025; same-property NOI has been more mixed, missing consensus in 3 of the last 4 quarters as the Street has consistently over-estimated the metric — but management pre-guided Q2 below range, so a below-consensus SS NOI print is already expected and should not be penalized by the market.</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is unchanged since the Q1 earnings call; the only post-earnings update was a confident reaffirmation at Nareit REITweek on June 2, with management explicitly noting no change to full-year targets and reiterating the Q2 below-range SS NOI expectation.</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29–30)</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 (VA, Jul 29)</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Same-Property NOI Growth</w:t>
            </w:r>
          </w:p>
        </w:tc>
        <w:tc>
          <w:tcPr>
            <w:tcW w:type="dxa" w:w="1728"/>
          </w:tcPr>
          <w:p>
            <w:r>
              <w:rPr>
                <w:rFonts w:ascii="Calibri" w:hAnsi="Calibri"/>
                <w:sz w:val="22"/>
              </w:rPr>
              <w:t>3.25%–3.75% (mid: 3.50%)</w:t>
            </w:r>
          </w:p>
        </w:tc>
        <w:tc>
          <w:tcPr>
            <w:tcW w:type="dxa" w:w="1728"/>
          </w:tcPr>
          <w:p>
            <w:r>
              <w:rPr>
                <w:rFonts w:ascii="Calibri" w:hAnsi="Calibri"/>
                <w:sz w:val="22"/>
              </w:rPr>
              <w:t>—</w:t>
            </w:r>
          </w:p>
        </w:tc>
        <w:tc>
          <w:tcPr>
            <w:tcW w:type="dxa" w:w="1728"/>
          </w:tcPr>
          <w:p>
            <w:r>
              <w:rPr>
                <w:rFonts w:ascii="Calibri" w:hAnsi="Calibri"/>
                <w:sz w:val="22"/>
              </w:rPr>
              <w:t>4.31% FY 2026</w:t>
            </w:r>
          </w:p>
        </w:tc>
        <w:tc>
          <w:tcPr>
            <w:tcW w:type="dxa" w:w="1728"/>
          </w:tcPr>
          <w:p>
            <w:r>
              <w:rPr>
                <w:rFonts w:ascii="Calibri" w:hAnsi="Calibri"/>
                <w:sz w:val="22"/>
              </w:rPr>
              <w:t>Reaffirmed at Nareit REITweek Jun 2; Q2 explicitly guided below range due to CAM reconciliation comp; Q1 was above range at 4.4%</w:t>
            </w:r>
          </w:p>
        </w:tc>
      </w:tr>
      <w:tr>
        <w:tc>
          <w:tcPr>
            <w:tcW w:type="dxa" w:w="1728"/>
          </w:tcPr>
          <w:p>
            <w:r>
              <w:rPr>
                <w:rFonts w:ascii="Calibri" w:hAnsi="Calibri"/>
                <w:sz w:val="22"/>
              </w:rPr>
              <w:t>Operating FFO per Share Growth</w:t>
            </w:r>
          </w:p>
        </w:tc>
        <w:tc>
          <w:tcPr>
            <w:tcW w:type="dxa" w:w="1728"/>
          </w:tcPr>
          <w:p>
            <w:r>
              <w:rPr>
                <w:rFonts w:ascii="Calibri" w:hAnsi="Calibri"/>
                <w:sz w:val="22"/>
              </w:rPr>
              <w:t>~4.5% YoY at midpoint</w:t>
            </w:r>
          </w:p>
        </w:tc>
        <w:tc>
          <w:tcPr>
            <w:tcW w:type="dxa" w:w="1728"/>
          </w:tcPr>
          <w:p>
            <w:r>
              <w:rPr>
                <w:rFonts w:ascii="Calibri" w:hAnsi="Calibri"/>
                <w:sz w:val="22"/>
              </w:rPr>
              <w:t>—</w:t>
            </w:r>
          </w:p>
        </w:tc>
        <w:tc>
          <w:tcPr>
            <w:tcW w:type="dxa" w:w="1728"/>
          </w:tcPr>
          <w:p>
            <w:r>
              <w:rPr>
                <w:rFonts w:ascii="Calibri" w:hAnsi="Calibri"/>
                <w:sz w:val="22"/>
              </w:rPr>
              <w:t>$4.64 FY 2026 (vs. ~$4.44 FY 2025 implied)</w:t>
            </w:r>
          </w:p>
        </w:tc>
        <w:tc>
          <w:tcPr>
            <w:tcW w:type="dxa" w:w="1728"/>
          </w:tcPr>
          <w:p>
            <w:r>
              <w:rPr>
                <w:rFonts w:ascii="Calibri" w:hAnsi="Calibri"/>
                <w:sz w:val="22"/>
              </w:rPr>
              <w:t>Unchanged; reaffirmed Jun 2</w:t>
            </w:r>
          </w:p>
        </w:tc>
      </w:tr>
      <w:tr>
        <w:tc>
          <w:tcPr>
            <w:tcW w:type="dxa" w:w="1728"/>
          </w:tcPr>
          <w:p>
            <w:r>
              <w:rPr>
                <w:rFonts w:ascii="Calibri" w:hAnsi="Calibri"/>
                <w:sz w:val="22"/>
              </w:rPr>
              <w:t>Nareit FFO per Share Growth</w:t>
            </w:r>
          </w:p>
        </w:tc>
        <w:tc>
          <w:tcPr>
            <w:tcW w:type="dxa" w:w="1728"/>
          </w:tcPr>
          <w:p>
            <w:r>
              <w:rPr>
                <w:rFonts w:ascii="Calibri" w:hAnsi="Calibri"/>
                <w:sz w:val="22"/>
              </w:rPr>
              <w:t>~4.5% YoY at midpoint</w:t>
            </w:r>
          </w:p>
        </w:tc>
        <w:tc>
          <w:tcPr>
            <w:tcW w:type="dxa" w:w="1728"/>
          </w:tcPr>
          <w:p>
            <w:r>
              <w:rPr>
                <w:rFonts w:ascii="Calibri" w:hAnsi="Calibri"/>
                <w:sz w:val="22"/>
              </w:rPr>
              <w:t>—</w:t>
            </w:r>
          </w:p>
        </w:tc>
        <w:tc>
          <w:tcPr>
            <w:tcW w:type="dxa" w:w="1728"/>
          </w:tcPr>
          <w:p>
            <w:r>
              <w:rPr>
                <w:rFonts w:ascii="Calibri" w:hAnsi="Calibri"/>
                <w:sz w:val="22"/>
              </w:rPr>
              <w:t>In line with guidance trajectory</w:t>
            </w:r>
          </w:p>
        </w:tc>
        <w:tc>
          <w:tcPr>
            <w:tcW w:type="dxa" w:w="1728"/>
          </w:tcPr>
          <w:p>
            <w:r>
              <w:rPr>
                <w:rFonts w:ascii="Calibri" w:hAnsi="Calibri"/>
                <w:sz w:val="22"/>
              </w:rPr>
              <w:t>Unchanged</w:t>
            </w:r>
          </w:p>
        </w:tc>
      </w:tr>
      <w:tr>
        <w:tc>
          <w:tcPr>
            <w:tcW w:type="dxa" w:w="1728"/>
          </w:tcPr>
          <w:p>
            <w:r>
              <w:rPr>
                <w:rFonts w:ascii="Calibri" w:hAnsi="Calibri"/>
                <w:sz w:val="22"/>
              </w:rPr>
              <w:t>Total NOI Growth</w:t>
            </w:r>
          </w:p>
        </w:tc>
        <w:tc>
          <w:tcPr>
            <w:tcW w:type="dxa" w:w="1728"/>
          </w:tcPr>
          <w:p>
            <w:r>
              <w:rPr>
                <w:rFonts w:ascii="Calibri" w:hAnsi="Calibri"/>
                <w:sz w:val="22"/>
              </w:rPr>
              <w:t>North of 6%</w:t>
            </w:r>
          </w:p>
        </w:tc>
        <w:tc>
          <w:tcPr>
            <w:tcW w:type="dxa" w:w="1728"/>
          </w:tcPr>
          <w:p>
            <w:r>
              <w:rPr>
                <w:rFonts w:ascii="Calibri" w:hAnsi="Calibri"/>
                <w:sz w:val="22"/>
              </w:rPr>
              <w:t>—</w:t>
            </w:r>
          </w:p>
        </w:tc>
        <w:tc>
          <w:tcPr>
            <w:tcW w:type="dxa" w:w="1728"/>
          </w:tcPr>
          <w:p>
            <w:r>
              <w:rPr>
                <w:rFonts w:ascii="Calibri" w:hAnsi="Calibri"/>
                <w:sz w:val="22"/>
              </w:rPr>
              <w:t>N/A — not tracked separately in VA</w:t>
            </w:r>
          </w:p>
        </w:tc>
        <w:tc>
          <w:tcPr>
            <w:tcW w:type="dxa" w:w="1728"/>
          </w:tcPr>
          <w:p>
            <w:r>
              <w:rPr>
                <w:rFonts w:ascii="Calibri" w:hAnsi="Calibri"/>
                <w:sz w:val="22"/>
              </w:rPr>
              <w:t>Unchanged; driven by development deliveries and 2025 acquisitions</w:t>
            </w:r>
          </w:p>
        </w:tc>
      </w:tr>
      <w:tr>
        <w:tc>
          <w:tcPr>
            <w:tcW w:type="dxa" w:w="1728"/>
          </w:tcPr>
          <w:p>
            <w:r>
              <w:rPr>
                <w:rFonts w:ascii="Calibri" w:hAnsi="Calibri"/>
                <w:sz w:val="22"/>
              </w:rPr>
              <w:t>Development &amp; Redevelopment Spend</w:t>
            </w:r>
          </w:p>
        </w:tc>
        <w:tc>
          <w:tcPr>
            <w:tcW w:type="dxa" w:w="1728"/>
          </w:tcPr>
          <w:p>
            <w:r>
              <w:rPr>
                <w:rFonts w:ascii="Calibri" w:hAnsi="Calibri"/>
                <w:sz w:val="22"/>
              </w:rPr>
              <w:t>$325M (modestly raised from prior guide; ~2/3 ground-up, ~1/3 redev)</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Raised modestly at Q1 due to increased starts expectations; starts expected back-end loaded in 2026</w:t>
            </w:r>
          </w:p>
        </w:tc>
      </w:tr>
      <w:tr>
        <w:tc>
          <w:tcPr>
            <w:tcW w:type="dxa" w:w="1728"/>
          </w:tcPr>
          <w:p>
            <w:r>
              <w:rPr>
                <w:rFonts w:ascii="Calibri" w:hAnsi="Calibri"/>
                <w:sz w:val="22"/>
              </w:rPr>
              <w:t>Acquisitions</w:t>
            </w:r>
          </w:p>
        </w:tc>
        <w:tc>
          <w:tcPr>
            <w:tcW w:type="dxa" w:w="1728"/>
          </w:tcPr>
          <w:p>
            <w:r>
              <w:rPr>
                <w:rFonts w:ascii="Calibri" w:hAnsi="Calibri"/>
                <w:sz w:val="22"/>
              </w:rPr>
              <w:t>Updated to include known transactions</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Raised at Q1 to include known deals; management characterized acquisition market as ‘really challenging’ at Nareit</w:t>
            </w:r>
          </w:p>
        </w:tc>
      </w:tr>
      <w:tr>
        <w:tc>
          <w:tcPr>
            <w:tcW w:type="dxa" w:w="1728"/>
          </w:tcPr>
          <w:p>
            <w:r>
              <w:rPr>
                <w:rFonts w:ascii="Calibri" w:hAnsi="Calibri"/>
                <w:sz w:val="22"/>
              </w:rPr>
              <w:t>Uncollectible Lease Income (Bad Debt)</w:t>
            </w:r>
          </w:p>
        </w:tc>
        <w:tc>
          <w:tcPr>
            <w:tcW w:type="dxa" w:w="1728"/>
          </w:tcPr>
          <w:p>
            <w:r>
              <w:rPr>
                <w:rFonts w:ascii="Calibri" w:hAnsi="Calibri"/>
                <w:sz w:val="22"/>
              </w:rPr>
              <w:t>Below historical average</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collections near record lows as of Q1; peer data (PECO, BRX) suggests continued outperformance</w:t>
            </w:r>
          </w:p>
        </w:tc>
      </w:tr>
    </w:tbl>
    <w:p>
      <w:r>
        <w:rPr>
          <w:rFonts w:ascii="Calibri" w:hAnsi="Calibri"/>
          <w:i/>
          <w:color w:val="525866"/>
          <w:sz w:val="22"/>
        </w:rPr>
        <w:t>Sources: Q1 2026 Earnings Call transcript (April 29–30, 2026); Nareit REITweek Investor Conference transcript (June 2, 2026); Visible Alpha consensus data as of July 29, 2026.</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for Q2 2026 Operating FFO have drifted marginally lower since the Q1 print (from $1.14 to $1.15, essentially flat), while FY 2026 estimates have been stable to slightly higher — the Street has absorbed the guided Q2 SS NOI softness without cutting numbers, suggesting the bar is appropriately calibrated and any upside on bad debt or base rent could drive a clean beat.</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&amp; Period</w:t>
            </w:r>
          </w:p>
        </w:tc>
        <w:tc>
          <w:tcPr>
            <w:tcW w:type="dxa" w:w="1080"/>
            <w:shd w:val="clear" w:color="auto" w:fill="3B4259"/>
          </w:tcPr>
          <w:p>
            <w:r>
              <w:rPr>
                <w:rFonts w:ascii="Calibri" w:hAnsi="Calibri"/>
                <w:b/>
                <w:color w:val="FFFFFF"/>
                <w:sz w:val="22"/>
              </w:rPr>
              <w:t>Estimate ~5 Days Post Q1 Earnings (as of May 6, 2026)</w:t>
            </w:r>
          </w:p>
        </w:tc>
        <w:tc>
          <w:tcPr>
            <w:tcW w:type="dxa" w:w="1080"/>
            <w:shd w:val="clear" w:color="auto" w:fill="3B4259"/>
          </w:tcPr>
          <w:p>
            <w:r>
              <w:rPr>
                <w:rFonts w:ascii="Calibri" w:hAnsi="Calibri"/>
                <w:b/>
                <w:color w:val="FFFFFF"/>
                <w:sz w:val="22"/>
              </w:rPr>
              <w:t>Current Estimate (Jul 29,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Operating FFO/Share — Q2 2026</w:t>
            </w:r>
          </w:p>
        </w:tc>
        <w:tc>
          <w:tcPr>
            <w:tcW w:type="dxa" w:w="1080"/>
          </w:tcPr>
          <w:p>
            <w:r>
              <w:rPr>
                <w:rFonts w:ascii="Calibri" w:hAnsi="Calibri"/>
                <w:sz w:val="22"/>
              </w:rPr>
              <w:t>$1.143</w:t>
            </w:r>
          </w:p>
        </w:tc>
        <w:tc>
          <w:tcPr>
            <w:tcW w:type="dxa" w:w="1080"/>
          </w:tcPr>
          <w:p>
            <w:r>
              <w:rPr>
                <w:rFonts w:ascii="Calibri" w:hAnsi="Calibri"/>
                <w:sz w:val="22"/>
              </w:rPr>
              <w:t>$1.148</w:t>
            </w:r>
          </w:p>
        </w:tc>
        <w:tc>
          <w:tcPr>
            <w:tcW w:type="dxa" w:w="1080"/>
          </w:tcPr>
          <w:p>
            <w:r>
              <w:rPr>
                <w:rFonts w:ascii="Calibri" w:hAnsi="Calibri"/>
                <w:b/>
                <w:color w:val="30A46C"/>
                <w:sz w:val="22"/>
              </w:rPr>
              <w:t>+0.4%</w:t>
            </w:r>
          </w:p>
        </w:tc>
        <w:tc>
          <w:tcPr>
            <w:tcW w:type="dxa" w:w="1080"/>
          </w:tcPr>
          <w:p>
            <w:r>
              <w:rPr>
                <w:rFonts w:ascii="Calibri" w:hAnsi="Calibri"/>
                <w:sz w:val="22"/>
              </w:rPr>
              <w:t>~4.5% FY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 with FY trajectory</w:t>
            </w:r>
          </w:p>
        </w:tc>
      </w:tr>
      <w:tr>
        <w:tc>
          <w:tcPr>
            <w:tcW w:type="dxa" w:w="1080"/>
          </w:tcPr>
          <w:p>
            <w:r>
              <w:rPr>
                <w:rFonts w:ascii="Calibri" w:hAnsi="Calibri"/>
                <w:sz w:val="22"/>
              </w:rPr>
              <w:t>Operating FFO/Share — FY 2026</w:t>
            </w:r>
          </w:p>
        </w:tc>
        <w:tc>
          <w:tcPr>
            <w:tcW w:type="dxa" w:w="1080"/>
          </w:tcPr>
          <w:p>
            <w:r>
              <w:rPr>
                <w:rFonts w:ascii="Calibri" w:hAnsi="Calibri"/>
                <w:sz w:val="22"/>
              </w:rPr>
              <w:t>$4.619</w:t>
            </w:r>
          </w:p>
        </w:tc>
        <w:tc>
          <w:tcPr>
            <w:tcW w:type="dxa" w:w="1080"/>
          </w:tcPr>
          <w:p>
            <w:r>
              <w:rPr>
                <w:rFonts w:ascii="Calibri" w:hAnsi="Calibri"/>
                <w:sz w:val="22"/>
              </w:rPr>
              <w:t>$4.636</w:t>
            </w:r>
          </w:p>
        </w:tc>
        <w:tc>
          <w:tcPr>
            <w:tcW w:type="dxa" w:w="1080"/>
          </w:tcPr>
          <w:p>
            <w:r>
              <w:rPr>
                <w:rFonts w:ascii="Calibri" w:hAnsi="Calibri"/>
                <w:b/>
                <w:color w:val="30A46C"/>
                <w:sz w:val="22"/>
              </w:rPr>
              <w:t>+0.4%</w:t>
            </w:r>
          </w:p>
        </w:tc>
        <w:tc>
          <w:tcPr>
            <w:tcW w:type="dxa" w:w="1080"/>
          </w:tcPr>
          <w:p>
            <w:r>
              <w:rPr>
                <w:rFonts w:ascii="Calibri" w:hAnsi="Calibri"/>
                <w:sz w:val="22"/>
              </w:rPr>
              <w:t>~4.5% growth YoY</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r>
        <w:tc>
          <w:tcPr>
            <w:tcW w:type="dxa" w:w="1080"/>
          </w:tcPr>
          <w:p>
            <w:r>
              <w:rPr>
                <w:rFonts w:ascii="Calibri" w:hAnsi="Calibri"/>
                <w:sz w:val="22"/>
              </w:rPr>
              <w:t>Same-Property NOI Growth — Q2 2026</w:t>
            </w:r>
          </w:p>
        </w:tc>
        <w:tc>
          <w:tcPr>
            <w:tcW w:type="dxa" w:w="1080"/>
          </w:tcPr>
          <w:p>
            <w:r>
              <w:rPr>
                <w:rFonts w:ascii="Calibri" w:hAnsi="Calibri"/>
                <w:sz w:val="22"/>
              </w:rPr>
              <w:t>5.16%</w:t>
            </w:r>
          </w:p>
        </w:tc>
        <w:tc>
          <w:tcPr>
            <w:tcW w:type="dxa" w:w="1080"/>
          </w:tcPr>
          <w:p>
            <w:r>
              <w:rPr>
                <w:rFonts w:ascii="Calibri" w:hAnsi="Calibri"/>
                <w:sz w:val="22"/>
              </w:rPr>
              <w:t>4.64%</w:t>
            </w:r>
          </w:p>
        </w:tc>
        <w:tc>
          <w:tcPr>
            <w:tcW w:type="dxa" w:w="1080"/>
          </w:tcPr>
          <w:p>
            <w:r>
              <w:rPr>
                <w:rFonts w:ascii="Calibri" w:hAnsi="Calibri"/>
                <w:b/>
                <w:color w:val="E5484D"/>
                <w:sz w:val="22"/>
              </w:rPr>
              <w:t>-52 bps</w:t>
            </w:r>
          </w:p>
        </w:tc>
        <w:tc>
          <w:tcPr>
            <w:tcW w:type="dxa" w:w="1080"/>
          </w:tcPr>
          <w:p>
            <w:r>
              <w:rPr>
                <w:rFonts w:ascii="Calibri" w:hAnsi="Calibri"/>
                <w:sz w:val="22"/>
              </w:rPr>
              <w:t>Below full-year range of 3.25–3.75%</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+114 bps above FY midpoint; but mgmt guided Q2 below range</w:t>
            </w:r>
          </w:p>
        </w:tc>
      </w:tr>
      <w:tr>
        <w:tc>
          <w:tcPr>
            <w:tcW w:type="dxa" w:w="1080"/>
          </w:tcPr>
          <w:p>
            <w:r>
              <w:rPr>
                <w:rFonts w:ascii="Calibri" w:hAnsi="Calibri"/>
                <w:sz w:val="22"/>
              </w:rPr>
              <w:t>Same-Property NOI Growth — FY 2026</w:t>
            </w:r>
          </w:p>
        </w:tc>
        <w:tc>
          <w:tcPr>
            <w:tcW w:type="dxa" w:w="1080"/>
          </w:tcPr>
          <w:p>
            <w:r>
              <w:rPr>
                <w:rFonts w:ascii="Calibri" w:hAnsi="Calibri"/>
                <w:sz w:val="22"/>
              </w:rPr>
              <w:t>4.72%</w:t>
            </w:r>
          </w:p>
        </w:tc>
        <w:tc>
          <w:tcPr>
            <w:tcW w:type="dxa" w:w="1080"/>
          </w:tcPr>
          <w:p>
            <w:r>
              <w:rPr>
                <w:rFonts w:ascii="Calibri" w:hAnsi="Calibri"/>
                <w:sz w:val="22"/>
              </w:rPr>
              <w:t>4.31%</w:t>
            </w:r>
          </w:p>
        </w:tc>
        <w:tc>
          <w:tcPr>
            <w:tcW w:type="dxa" w:w="1080"/>
          </w:tcPr>
          <w:p>
            <w:r>
              <w:rPr>
                <w:rFonts w:ascii="Calibri" w:hAnsi="Calibri"/>
                <w:b/>
                <w:color w:val="E5484D"/>
                <w:sz w:val="22"/>
              </w:rPr>
              <w:t>-41 bps</w:t>
            </w:r>
          </w:p>
        </w:tc>
        <w:tc>
          <w:tcPr>
            <w:tcW w:type="dxa" w:w="1080"/>
          </w:tcPr>
          <w:p>
            <w:r>
              <w:rPr>
                <w:rFonts w:ascii="Calibri" w:hAnsi="Calibri"/>
                <w:sz w:val="22"/>
              </w:rPr>
              <w:t>3.25–3.75% (mid: 3.50%)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+81 bps above midpoint; cushion vs. guidance</w:t>
            </w:r>
          </w:p>
        </w:tc>
      </w:tr>
      <w:tr>
        <w:tc>
          <w:tcPr>
            <w:tcW w:type="dxa" w:w="1080"/>
          </w:tcPr>
          <w:p>
            <w:r>
              <w:rPr>
                <w:rFonts w:ascii="Calibri" w:hAnsi="Calibri"/>
                <w:sz w:val="22"/>
              </w:rPr>
              <w:t>Total Revenue — Q2 2026</w:t>
            </w:r>
          </w:p>
        </w:tc>
        <w:tc>
          <w:tcPr>
            <w:tcW w:type="dxa" w:w="1080"/>
          </w:tcPr>
          <w:p>
            <w:r>
              <w:rPr>
                <w:rFonts w:ascii="Calibri" w:hAnsi="Calibri"/>
                <w:sz w:val="22"/>
              </w:rPr>
              <w:t>$402.4M</w:t>
            </w:r>
          </w:p>
        </w:tc>
        <w:tc>
          <w:tcPr>
            <w:tcW w:type="dxa" w:w="1080"/>
          </w:tcPr>
          <w:p>
            <w:r>
              <w:rPr>
                <w:rFonts w:ascii="Calibri" w:hAnsi="Calibri"/>
                <w:sz w:val="22"/>
              </w:rPr>
              <w:t>$400.5M</w:t>
            </w:r>
          </w:p>
        </w:tc>
        <w:tc>
          <w:tcPr>
            <w:tcW w:type="dxa" w:w="1080"/>
          </w:tcPr>
          <w:p>
            <w:r>
              <w:rPr>
                <w:rFonts w:ascii="Calibri" w:hAnsi="Calibri"/>
                <w:b/>
                <w:color w:val="E5484D"/>
                <w:sz w:val="22"/>
              </w:rPr>
              <w:t>-0.5%</w:t>
            </w:r>
          </w:p>
        </w:tc>
        <w:tc>
          <w:tcPr>
            <w:tcW w:type="dxa" w:w="1080"/>
          </w:tcPr>
          <w:p>
            <w:r>
              <w:rPr>
                <w:rFonts w:ascii="Calibri" w:hAnsi="Calibri"/>
                <w:sz w:val="22"/>
              </w:rPr>
              <w:t>N/A (no specific quarterly revenue guidance)</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Total Revenue — FY 2026</w:t>
            </w:r>
          </w:p>
        </w:tc>
        <w:tc>
          <w:tcPr>
            <w:tcW w:type="dxa" w:w="1080"/>
          </w:tcPr>
          <w:p>
            <w:r>
              <w:rPr>
                <w:rFonts w:ascii="Calibri" w:hAnsi="Calibri"/>
                <w:sz w:val="22"/>
              </w:rPr>
              <w:t>$1,620.9M</w:t>
            </w:r>
          </w:p>
        </w:tc>
        <w:tc>
          <w:tcPr>
            <w:tcW w:type="dxa" w:w="1080"/>
          </w:tcPr>
          <w:p>
            <w:r>
              <w:rPr>
                <w:rFonts w:ascii="Calibri" w:hAnsi="Calibri"/>
                <w:sz w:val="22"/>
              </w:rPr>
              <w:t>$1,623.9M</w:t>
            </w:r>
          </w:p>
        </w:tc>
        <w:tc>
          <w:tcPr>
            <w:tcW w:type="dxa" w:w="1080"/>
          </w:tcPr>
          <w:p>
            <w:r>
              <w:rPr>
                <w:rFonts w:ascii="Calibri" w:hAnsi="Calibri"/>
                <w:b/>
                <w:color w:val="30A46C"/>
                <w:sz w:val="22"/>
              </w:rPr>
              <w:t>+0.2%</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i/>
          <w:color w:val="525866"/>
          <w:sz w:val="22"/>
        </w:rPr>
        <w:t>Source: Visible Alpha consensus and actuals data. Post-Q1 baseline uses as-of date May 6, 2026 (approximately 5 trading days after the April 29 earnings release). Current estimates as of July 29, 2026. Guidance from Q1 2026 earnings call (April 29–30, 2026) and Nareit REITweek (June 2, 2026).</w:t>
      </w:r>
    </w:p>
    <w:p>
      <w:r>
        <w:rPr>
          <w:rFonts w:ascii="Calibri" w:hAnsi="Calibri"/>
          <w:color w:val="525866"/>
          <w:sz w:val="22"/>
        </w:rPr>
        <w:t>The estimate revision picture is remarkably stable: Operating FFO estimates for both Q2 and FY 2026 have barely moved since the Q1 print (+0.4%), while SS NOI estimates have drifted modestly lower as the Street digested the guided Q2 below-range print. Critically, FY 2026 SS NOI consensus of 4.31% still sits 81 bps above the guidance midpoint of 3.50%, providing a meaningful cushion — this gap is a risk if Q2 disappoints materially, but also represents upside if bad debt and base rent trends continue to outperform.</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REG has delivered modest absolute gains since the Q1 earnings date (+2.0% from $79.38 to $80.97) but has lagged IYR (+6.3%) meaningfully, suggesting multiple compression relative to the broader REIT sector; the 12-month performance (+13.8%) has been driven roughly equally by multiple expansion (+4.7%) and earnings growth, with the stock’s NTM EV/EBITDA expanding from 17.2x to 18.0x.</w:t>
      </w:r>
    </w:p>
    <w:p>
      <w:r>
        <w:rPr>
          <w:rFonts w:ascii="Calibri" w:hAnsi="Calibri"/>
          <w:color w:val="525866"/>
          <w:sz w:val="22"/>
        </w:rPr>
        <w:t>Since the April 29, 2026 Q1 earnings release, REG has traded in a range of $76.03 (June 2 low) to $82.68 (July 17 high), closing at $80.97 on July 29. The stock initially sold off ~2% on the Q1 earnings day itself (from $79.38 to $77.85), consistent with the summary knowledge noting the stock declined modestly despite solid results — a sign that premium valuation and high expectations were already priced in. REG then recovered through mid-July, aided by the broader REIT sector rally (IYR +6.3% over the same period) and a positive read-through from Prologis’s Q2 beat on July 16. The stock has lagged IYR by approximately 430 basis points since the Q1 print, suggesting sector rotation into higher-beta REITs has benefited peers more. On a 12-month basis, the NTM EV/EBITDA multiple has expanded from 17.2x to 18.0x (+4.7%), accounting for roughly one-third of the +13.8% total price return, with the remainder driven by earnings growth. At 18.0x NTM EV/EBITDA, REG trades at a modest discount to its own 3-year average and roughly in line with the peer group median, leaving limited room for further multiple expansion without a guidance raise.</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Horizon</w:t>
            </w:r>
          </w:p>
        </w:tc>
        <w:tc>
          <w:tcPr>
            <w:tcW w:type="dxa" w:w="1234"/>
            <w:shd w:val="clear" w:color="auto" w:fill="3B4259"/>
          </w:tcPr>
          <w:p>
            <w:r>
              <w:rPr>
                <w:rFonts w:ascii="Calibri" w:hAnsi="Calibri"/>
                <w:b/>
                <w:color w:val="FFFFFF"/>
                <w:sz w:val="22"/>
              </w:rPr>
              <w:t>REG Price Return</w:t>
            </w:r>
          </w:p>
        </w:tc>
        <w:tc>
          <w:tcPr>
            <w:tcW w:type="dxa" w:w="1234"/>
            <w:shd w:val="clear" w:color="auto" w:fill="3B4259"/>
          </w:tcPr>
          <w:p>
            <w:r>
              <w:rPr>
                <w:rFonts w:ascii="Calibri" w:hAnsi="Calibri"/>
                <w:b/>
                <w:color w:val="FFFFFF"/>
                <w:sz w:val="22"/>
              </w:rPr>
              <w:t>IYR Return</w:t>
            </w:r>
          </w:p>
        </w:tc>
        <w:tc>
          <w:tcPr>
            <w:tcW w:type="dxa" w:w="1234"/>
            <w:shd w:val="clear" w:color="auto" w:fill="3B4259"/>
          </w:tcPr>
          <w:p>
            <w:r>
              <w:rPr>
                <w:rFonts w:ascii="Calibri" w:hAnsi="Calibri"/>
                <w:b/>
                <w:color w:val="FFFFFF"/>
                <w:sz w:val="22"/>
              </w:rPr>
              <w:t>SPY Return</w:t>
            </w:r>
          </w:p>
        </w:tc>
        <w:tc>
          <w:tcPr>
            <w:tcW w:type="dxa" w:w="1234"/>
            <w:shd w:val="clear" w:color="auto" w:fill="3B4259"/>
          </w:tcPr>
          <w:p>
            <w:r>
              <w:rPr>
                <w:rFonts w:ascii="Calibri" w:hAnsi="Calibri"/>
                <w:b/>
                <w:color w:val="FFFFFF"/>
                <w:sz w:val="22"/>
              </w:rPr>
              <w:t>NTM EV/EBITDA (Start)</w:t>
            </w:r>
          </w:p>
        </w:tc>
        <w:tc>
          <w:tcPr>
            <w:tcW w:type="dxa" w:w="1234"/>
            <w:shd w:val="clear" w:color="auto" w:fill="3B4259"/>
          </w:tcPr>
          <w:p>
            <w:r>
              <w:rPr>
                <w:rFonts w:ascii="Calibri" w:hAnsi="Calibri"/>
                <w:b/>
                <w:color w:val="FFFFFF"/>
                <w:sz w:val="22"/>
              </w:rPr>
              <w:t>NTM EV/EBITDA (Current)</w:t>
            </w:r>
          </w:p>
        </w:tc>
        <w:tc>
          <w:tcPr>
            <w:tcW w:type="dxa" w:w="1234"/>
            <w:shd w:val="clear" w:color="auto" w:fill="3B4259"/>
          </w:tcPr>
          <w:p>
            <w:r>
              <w:rPr>
                <w:rFonts w:ascii="Calibri" w:hAnsi="Calibri"/>
                <w:b/>
                <w:color w:val="FFFFFF"/>
                <w:sz w:val="22"/>
              </w:rPr>
              <w:t>Multiple Δ</w:t>
            </w:r>
          </w:p>
        </w:tc>
      </w:tr>
      <w:tr>
        <w:tc>
          <w:tcPr>
            <w:tcW w:type="dxa" w:w="1234"/>
          </w:tcPr>
          <w:p>
            <w:r>
              <w:rPr>
                <w:rFonts w:ascii="Calibri" w:hAnsi="Calibri"/>
                <w:sz w:val="22"/>
              </w:rPr>
              <w:t>Since Q1 Earnings (Apr 29)</w:t>
            </w:r>
          </w:p>
        </w:tc>
        <w:tc>
          <w:tcPr>
            <w:tcW w:type="dxa" w:w="1234"/>
          </w:tcPr>
          <w:p>
            <w:r>
              <w:rPr>
                <w:rFonts w:ascii="Calibri" w:hAnsi="Calibri"/>
                <w:sz w:val="22"/>
              </w:rPr>
              <w:t>+2.0%</w:t>
            </w:r>
          </w:p>
        </w:tc>
        <w:tc>
          <w:tcPr>
            <w:tcW w:type="dxa" w:w="1234"/>
          </w:tcPr>
          <w:p>
            <w:r>
              <w:rPr>
                <w:rFonts w:ascii="Calibri" w:hAnsi="Calibri"/>
                <w:sz w:val="22"/>
              </w:rPr>
              <w:t>+6.3%</w:t>
            </w:r>
          </w:p>
        </w:tc>
        <w:tc>
          <w:tcPr>
            <w:tcW w:type="dxa" w:w="1234"/>
          </w:tcPr>
          <w:p>
            <w:r>
              <w:rPr>
                <w:rFonts w:ascii="Calibri" w:hAnsi="Calibri"/>
                <w:sz w:val="22"/>
              </w:rPr>
              <w:t>+4.1%</w:t>
            </w:r>
          </w:p>
        </w:tc>
        <w:tc>
          <w:tcPr>
            <w:tcW w:type="dxa" w:w="1234"/>
          </w:tcPr>
          <w:p>
            <w:r>
              <w:rPr>
                <w:rFonts w:ascii="Calibri" w:hAnsi="Calibri"/>
                <w:sz w:val="22"/>
              </w:rPr>
              <w:t>~17.9x</w:t>
            </w:r>
          </w:p>
        </w:tc>
        <w:tc>
          <w:tcPr>
            <w:tcW w:type="dxa" w:w="1234"/>
          </w:tcPr>
          <w:p>
            <w:r>
              <w:rPr>
                <w:rFonts w:ascii="Calibri" w:hAnsi="Calibri"/>
                <w:sz w:val="22"/>
              </w:rPr>
              <w:t>18.0x</w:t>
            </w:r>
          </w:p>
        </w:tc>
        <w:tc>
          <w:tcPr>
            <w:tcW w:type="dxa" w:w="1234"/>
          </w:tcPr>
          <w:p>
            <w:r>
              <w:rPr>
                <w:rFonts w:ascii="Calibri" w:hAnsi="Calibri"/>
                <w:sz w:val="22"/>
              </w:rPr>
              <w:t>+0.1x</w:t>
            </w:r>
          </w:p>
        </w:tc>
      </w:tr>
      <w:tr>
        <w:tc>
          <w:tcPr>
            <w:tcW w:type="dxa" w:w="1234"/>
          </w:tcPr>
          <w:p>
            <w:r>
              <w:rPr>
                <w:rFonts w:ascii="Calibri" w:hAnsi="Calibri"/>
                <w:sz w:val="22"/>
              </w:rPr>
              <w:t>3 Months</w:t>
            </w:r>
          </w:p>
        </w:tc>
        <w:tc>
          <w:tcPr>
            <w:tcW w:type="dxa" w:w="1234"/>
          </w:tcPr>
          <w:p>
            <w:r>
              <w:rPr>
                <w:rFonts w:ascii="Calibri" w:hAnsi="Calibri"/>
                <w:sz w:val="22"/>
              </w:rPr>
              <w:t>+1.3%</w:t>
            </w:r>
          </w:p>
        </w:tc>
        <w:tc>
          <w:tcPr>
            <w:tcW w:type="dxa" w:w="1234"/>
          </w:tcPr>
          <w:p>
            <w:r>
              <w:rPr>
                <w:rFonts w:ascii="Calibri" w:hAnsi="Calibri"/>
                <w:sz w:val="22"/>
              </w:rPr>
              <w:t>N/A</w:t>
            </w:r>
          </w:p>
        </w:tc>
        <w:tc>
          <w:tcPr>
            <w:tcW w:type="dxa" w:w="1234"/>
          </w:tcPr>
          <w:p>
            <w:r>
              <w:rPr>
                <w:rFonts w:ascii="Calibri" w:hAnsi="Calibri"/>
                <w:sz w:val="22"/>
              </w:rPr>
              <w:t>N/A</w:t>
            </w:r>
          </w:p>
        </w:tc>
        <w:tc>
          <w:tcPr>
            <w:tcW w:type="dxa" w:w="1234"/>
          </w:tcPr>
          <w:p>
            <w:r>
              <w:rPr>
                <w:rFonts w:ascii="Calibri" w:hAnsi="Calibri"/>
                <w:sz w:val="22"/>
              </w:rPr>
              <w:t>17.9x</w:t>
            </w:r>
          </w:p>
        </w:tc>
        <w:tc>
          <w:tcPr>
            <w:tcW w:type="dxa" w:w="1234"/>
          </w:tcPr>
          <w:p>
            <w:r>
              <w:rPr>
                <w:rFonts w:ascii="Calibri" w:hAnsi="Calibri"/>
                <w:sz w:val="22"/>
              </w:rPr>
              <w:t>18.0x</w:t>
            </w:r>
          </w:p>
        </w:tc>
        <w:tc>
          <w:tcPr>
            <w:tcW w:type="dxa" w:w="1234"/>
          </w:tcPr>
          <w:p>
            <w:r>
              <w:rPr>
                <w:rFonts w:ascii="Calibri" w:hAnsi="Calibri"/>
                <w:sz w:val="22"/>
              </w:rPr>
              <w:t>+0.9%</w:t>
            </w:r>
          </w:p>
        </w:tc>
      </w:tr>
      <w:tr>
        <w:tc>
          <w:tcPr>
            <w:tcW w:type="dxa" w:w="1234"/>
          </w:tcPr>
          <w:p>
            <w:r>
              <w:rPr>
                <w:rFonts w:ascii="Calibri" w:hAnsi="Calibri"/>
                <w:sz w:val="22"/>
              </w:rPr>
              <w:t>6 Months</w:t>
            </w:r>
          </w:p>
        </w:tc>
        <w:tc>
          <w:tcPr>
            <w:tcW w:type="dxa" w:w="1234"/>
          </w:tcPr>
          <w:p>
            <w:r>
              <w:rPr>
                <w:rFonts w:ascii="Calibri" w:hAnsi="Calibri"/>
                <w:sz w:val="22"/>
              </w:rPr>
              <w:t>+13.6%</w:t>
            </w:r>
          </w:p>
        </w:tc>
        <w:tc>
          <w:tcPr>
            <w:tcW w:type="dxa" w:w="1234"/>
          </w:tcPr>
          <w:p>
            <w:r>
              <w:rPr>
                <w:rFonts w:ascii="Calibri" w:hAnsi="Calibri"/>
                <w:sz w:val="22"/>
              </w:rPr>
              <w:t>N/A</w:t>
            </w:r>
          </w:p>
        </w:tc>
        <w:tc>
          <w:tcPr>
            <w:tcW w:type="dxa" w:w="1234"/>
          </w:tcPr>
          <w:p>
            <w:r>
              <w:rPr>
                <w:rFonts w:ascii="Calibri" w:hAnsi="Calibri"/>
                <w:sz w:val="22"/>
              </w:rPr>
              <w:t>N/A</w:t>
            </w:r>
          </w:p>
        </w:tc>
        <w:tc>
          <w:tcPr>
            <w:tcW w:type="dxa" w:w="1234"/>
          </w:tcPr>
          <w:p>
            <w:r>
              <w:rPr>
                <w:rFonts w:ascii="Calibri" w:hAnsi="Calibri"/>
                <w:sz w:val="22"/>
              </w:rPr>
              <w:t>16.9x</w:t>
            </w:r>
          </w:p>
        </w:tc>
        <w:tc>
          <w:tcPr>
            <w:tcW w:type="dxa" w:w="1234"/>
          </w:tcPr>
          <w:p>
            <w:r>
              <w:rPr>
                <w:rFonts w:ascii="Calibri" w:hAnsi="Calibri"/>
                <w:sz w:val="22"/>
              </w:rPr>
              <w:t>18.0x</w:t>
            </w:r>
          </w:p>
        </w:tc>
        <w:tc>
          <w:tcPr>
            <w:tcW w:type="dxa" w:w="1234"/>
          </w:tcPr>
          <w:p>
            <w:r>
              <w:rPr>
                <w:rFonts w:ascii="Calibri" w:hAnsi="Calibri"/>
                <w:sz w:val="22"/>
              </w:rPr>
              <w:t>+6.6%</w:t>
            </w:r>
          </w:p>
        </w:tc>
      </w:tr>
      <w:tr>
        <w:tc>
          <w:tcPr>
            <w:tcW w:type="dxa" w:w="1234"/>
          </w:tcPr>
          <w:p>
            <w:r>
              <w:rPr>
                <w:rFonts w:ascii="Calibri" w:hAnsi="Calibri"/>
                <w:sz w:val="22"/>
              </w:rPr>
              <w:t>12 Months</w:t>
            </w:r>
          </w:p>
        </w:tc>
        <w:tc>
          <w:tcPr>
            <w:tcW w:type="dxa" w:w="1234"/>
          </w:tcPr>
          <w:p>
            <w:r>
              <w:rPr>
                <w:rFonts w:ascii="Calibri" w:hAnsi="Calibri"/>
                <w:sz w:val="22"/>
              </w:rPr>
              <w:t>+13.8%</w:t>
            </w:r>
          </w:p>
        </w:tc>
        <w:tc>
          <w:tcPr>
            <w:tcW w:type="dxa" w:w="1234"/>
          </w:tcPr>
          <w:p>
            <w:r>
              <w:rPr>
                <w:rFonts w:ascii="Calibri" w:hAnsi="Calibri"/>
                <w:sz w:val="22"/>
              </w:rPr>
              <w:t>N/A</w:t>
            </w:r>
          </w:p>
        </w:tc>
        <w:tc>
          <w:tcPr>
            <w:tcW w:type="dxa" w:w="1234"/>
          </w:tcPr>
          <w:p>
            <w:r>
              <w:rPr>
                <w:rFonts w:ascii="Calibri" w:hAnsi="Calibri"/>
                <w:sz w:val="22"/>
              </w:rPr>
              <w:t>N/A</w:t>
            </w:r>
          </w:p>
        </w:tc>
        <w:tc>
          <w:tcPr>
            <w:tcW w:type="dxa" w:w="1234"/>
          </w:tcPr>
          <w:p>
            <w:r>
              <w:rPr>
                <w:rFonts w:ascii="Calibri" w:hAnsi="Calibri"/>
                <w:sz w:val="22"/>
              </w:rPr>
              <w:t>17.2x</w:t>
            </w:r>
          </w:p>
        </w:tc>
        <w:tc>
          <w:tcPr>
            <w:tcW w:type="dxa" w:w="1234"/>
          </w:tcPr>
          <w:p>
            <w:r>
              <w:rPr>
                <w:rFonts w:ascii="Calibri" w:hAnsi="Calibri"/>
                <w:sz w:val="22"/>
              </w:rPr>
              <w:t>18.0x</w:t>
            </w:r>
          </w:p>
        </w:tc>
        <w:tc>
          <w:tcPr>
            <w:tcW w:type="dxa" w:w="1234"/>
          </w:tcPr>
          <w:p>
            <w:r>
              <w:rPr>
                <w:rFonts w:ascii="Calibri" w:hAnsi="Calibri"/>
                <w:sz w:val="22"/>
              </w:rPr>
              <w:t>+4.7%</w:t>
            </w:r>
          </w:p>
        </w:tc>
      </w:tr>
    </w:tbl>
    <w:p>
      <w:r>
        <w:rPr>
          <w:rFonts w:ascii="Calibri" w:hAnsi="Calibri"/>
          <w:i/>
          <w:color w:val="525866"/>
          <w:sz w:val="22"/>
        </w:rPr>
        <w:t>Sources: Stock price data (Yahoo Finance via Implied platform); stock performance decomposition data (Implied platform, snapshot July 28, 2026). IYR (iShares U.S. Real Estate ETF) used as the sector benchmark, appropriate for REG’s REIT sub-sector. Indexed returns computed from April 29, 2026 close prices: REG $79.38, IYR $100.90, SPY $711.58.</w:t>
      </w:r>
    </w:p>
    <w:p>
      <w:pPr>
        <w:pStyle w:val="Heading3"/>
      </w:pPr>
      <w:r>
        <w:rPr>
          <w:rFonts w:ascii="Calibri" w:hAnsi="Calibri"/>
          <w:b/>
          <w:color w:val="3B4259"/>
          <w:sz w:val="24"/>
        </w:rPr>
        <w:t>Indexed Price Chart: REG vs. IYR vs. SPY Since April 29, 2026 (Q1 Earnings Date)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REG (Indexed)</w:t>
            </w:r>
          </w:p>
        </w:tc>
        <w:tc>
          <w:tcPr>
            <w:tcW w:type="dxa" w:w="2160"/>
            <w:shd w:val="clear" w:color="auto" w:fill="3B4259"/>
          </w:tcPr>
          <w:p>
            <w:r>
              <w:rPr>
                <w:rFonts w:ascii="Calibri" w:hAnsi="Calibri"/>
                <w:b/>
                <w:color w:val="FFFFFF"/>
                <w:sz w:val="22"/>
              </w:rPr>
              <w:t>IYR (Indexed)</w:t>
            </w:r>
          </w:p>
        </w:tc>
        <w:tc>
          <w:tcPr>
            <w:tcW w:type="dxa" w:w="2160"/>
            <w:shd w:val="clear" w:color="auto" w:fill="3B4259"/>
          </w:tcPr>
          <w:p>
            <w:r>
              <w:rPr>
                <w:rFonts w:ascii="Calibri" w:hAnsi="Calibri"/>
                <w:b/>
                <w:color w:val="FFFFFF"/>
                <w:sz w:val="22"/>
              </w:rPr>
              <w:t>SPY (Indexed)</w:t>
            </w:r>
          </w:p>
        </w:tc>
      </w:tr>
      <w:tr>
        <w:tc>
          <w:tcPr>
            <w:tcW w:type="dxa" w:w="2160"/>
          </w:tcPr>
          <w:p>
            <w:r>
              <w:rPr>
                <w:rFonts w:ascii="Calibri" w:hAnsi="Calibri"/>
                <w:sz w:val="22"/>
              </w:rPr>
              <w:t>Apr 29 (base)</w:t>
            </w:r>
          </w:p>
        </w:tc>
        <w:tc>
          <w:tcPr>
            <w:tcW w:type="dxa" w:w="2160"/>
          </w:tcPr>
          <w:p>
            <w:r>
              <w:rPr>
                <w:rFonts w:ascii="Calibri" w:hAnsi="Calibri"/>
                <w:sz w:val="22"/>
              </w:rPr>
              <w:t>100.0</w:t>
            </w:r>
          </w:p>
        </w:tc>
        <w:tc>
          <w:tcPr>
            <w:tcW w:type="dxa" w:w="2160"/>
          </w:tcPr>
          <w:p>
            <w:r>
              <w:rPr>
                <w:rFonts w:ascii="Calibri" w:hAnsi="Calibri"/>
                <w:sz w:val="22"/>
              </w:rPr>
              <w:t>100.0</w:t>
            </w:r>
          </w:p>
        </w:tc>
        <w:tc>
          <w:tcPr>
            <w:tcW w:type="dxa" w:w="2160"/>
          </w:tcPr>
          <w:p>
            <w:r>
              <w:rPr>
                <w:rFonts w:ascii="Calibri" w:hAnsi="Calibri"/>
                <w:sz w:val="22"/>
              </w:rPr>
              <w:t>100.0</w:t>
            </w:r>
          </w:p>
        </w:tc>
      </w:tr>
      <w:tr>
        <w:tc>
          <w:tcPr>
            <w:tcW w:type="dxa" w:w="2160"/>
          </w:tcPr>
          <w:p>
            <w:r>
              <w:rPr>
                <w:rFonts w:ascii="Calibri" w:hAnsi="Calibri"/>
                <w:sz w:val="22"/>
              </w:rPr>
              <w:t>May 15</w:t>
            </w:r>
          </w:p>
        </w:tc>
        <w:tc>
          <w:tcPr>
            <w:tcW w:type="dxa" w:w="2160"/>
          </w:tcPr>
          <w:p>
            <w:r>
              <w:rPr>
                <w:rFonts w:ascii="Calibri" w:hAnsi="Calibri"/>
                <w:sz w:val="22"/>
              </w:rPr>
              <w:t>95.8</w:t>
            </w:r>
          </w:p>
        </w:tc>
        <w:tc>
          <w:tcPr>
            <w:tcW w:type="dxa" w:w="2160"/>
          </w:tcPr>
          <w:p>
            <w:r>
              <w:rPr>
                <w:rFonts w:ascii="Calibri" w:hAnsi="Calibri"/>
                <w:sz w:val="22"/>
              </w:rPr>
              <w:t>98.9</w:t>
            </w:r>
          </w:p>
        </w:tc>
        <w:tc>
          <w:tcPr>
            <w:tcW w:type="dxa" w:w="2160"/>
          </w:tcPr>
          <w:p>
            <w:r>
              <w:rPr>
                <w:rFonts w:ascii="Calibri" w:hAnsi="Calibri"/>
                <w:sz w:val="22"/>
              </w:rPr>
              <w:t>103.9</w:t>
            </w:r>
          </w:p>
        </w:tc>
      </w:tr>
      <w:tr>
        <w:tc>
          <w:tcPr>
            <w:tcW w:type="dxa" w:w="2160"/>
          </w:tcPr>
          <w:p>
            <w:r>
              <w:rPr>
                <w:rFonts w:ascii="Calibri" w:hAnsi="Calibri"/>
                <w:sz w:val="22"/>
              </w:rPr>
              <w:t>Jun 2 (Nareit)</w:t>
            </w:r>
          </w:p>
        </w:tc>
        <w:tc>
          <w:tcPr>
            <w:tcW w:type="dxa" w:w="2160"/>
          </w:tcPr>
          <w:p>
            <w:r>
              <w:rPr>
                <w:rFonts w:ascii="Calibri" w:hAnsi="Calibri"/>
                <w:sz w:val="22"/>
              </w:rPr>
              <w:t>95.8</w:t>
            </w:r>
          </w:p>
        </w:tc>
        <w:tc>
          <w:tcPr>
            <w:tcW w:type="dxa" w:w="2160"/>
          </w:tcPr>
          <w:p>
            <w:r>
              <w:rPr>
                <w:rFonts w:ascii="Calibri" w:hAnsi="Calibri"/>
                <w:sz w:val="22"/>
              </w:rPr>
              <w:t>99.1</w:t>
            </w:r>
          </w:p>
        </w:tc>
        <w:tc>
          <w:tcPr>
            <w:tcW w:type="dxa" w:w="2160"/>
          </w:tcPr>
          <w:p>
            <w:r>
              <w:rPr>
                <w:rFonts w:ascii="Calibri" w:hAnsi="Calibri"/>
                <w:sz w:val="22"/>
              </w:rPr>
              <w:t>106.7</w:t>
            </w:r>
          </w:p>
        </w:tc>
      </w:tr>
      <w:tr>
        <w:tc>
          <w:tcPr>
            <w:tcW w:type="dxa" w:w="2160"/>
          </w:tcPr>
          <w:p>
            <w:r>
              <w:rPr>
                <w:rFonts w:ascii="Calibri" w:hAnsi="Calibri"/>
                <w:sz w:val="22"/>
              </w:rPr>
              <w:t>Jun 26</w:t>
            </w:r>
          </w:p>
        </w:tc>
        <w:tc>
          <w:tcPr>
            <w:tcW w:type="dxa" w:w="2160"/>
          </w:tcPr>
          <w:p>
            <w:r>
              <w:rPr>
                <w:rFonts w:ascii="Calibri" w:hAnsi="Calibri"/>
                <w:sz w:val="22"/>
              </w:rPr>
              <w:t>103.1</w:t>
            </w:r>
          </w:p>
        </w:tc>
        <w:tc>
          <w:tcPr>
            <w:tcW w:type="dxa" w:w="2160"/>
          </w:tcPr>
          <w:p>
            <w:r>
              <w:rPr>
                <w:rFonts w:ascii="Calibri" w:hAnsi="Calibri"/>
                <w:sz w:val="22"/>
              </w:rPr>
              <w:t>103.7</w:t>
            </w:r>
          </w:p>
        </w:tc>
        <w:tc>
          <w:tcPr>
            <w:tcW w:type="dxa" w:w="2160"/>
          </w:tcPr>
          <w:p>
            <w:r>
              <w:rPr>
                <w:rFonts w:ascii="Calibri" w:hAnsi="Calibri"/>
                <w:sz w:val="22"/>
              </w:rPr>
              <w:t>102.4</w:t>
            </w:r>
          </w:p>
        </w:tc>
      </w:tr>
      <w:tr>
        <w:tc>
          <w:tcPr>
            <w:tcW w:type="dxa" w:w="2160"/>
          </w:tcPr>
          <w:p>
            <w:r>
              <w:rPr>
                <w:rFonts w:ascii="Calibri" w:hAnsi="Calibri"/>
                <w:sz w:val="22"/>
              </w:rPr>
              <w:t>Jul 16 (PLD Q2)</w:t>
            </w:r>
          </w:p>
        </w:tc>
        <w:tc>
          <w:tcPr>
            <w:tcW w:type="dxa" w:w="2160"/>
          </w:tcPr>
          <w:p>
            <w:r>
              <w:rPr>
                <w:rFonts w:ascii="Calibri" w:hAnsi="Calibri"/>
                <w:sz w:val="22"/>
              </w:rPr>
              <w:t>103.8</w:t>
            </w:r>
          </w:p>
        </w:tc>
        <w:tc>
          <w:tcPr>
            <w:tcW w:type="dxa" w:w="2160"/>
          </w:tcPr>
          <w:p>
            <w:r>
              <w:rPr>
                <w:rFonts w:ascii="Calibri" w:hAnsi="Calibri"/>
                <w:sz w:val="22"/>
              </w:rPr>
              <w:t>105.3</w:t>
            </w:r>
          </w:p>
        </w:tc>
        <w:tc>
          <w:tcPr>
            <w:tcW w:type="dxa" w:w="2160"/>
          </w:tcPr>
          <w:p>
            <w:r>
              <w:rPr>
                <w:rFonts w:ascii="Calibri" w:hAnsi="Calibri"/>
                <w:sz w:val="22"/>
              </w:rPr>
              <w:t>105.5</w:t>
            </w:r>
          </w:p>
        </w:tc>
      </w:tr>
      <w:tr>
        <w:tc>
          <w:tcPr>
            <w:tcW w:type="dxa" w:w="2160"/>
          </w:tcPr>
          <w:p>
            <w:r>
              <w:rPr>
                <w:rFonts w:ascii="Calibri" w:hAnsi="Calibri"/>
                <w:sz w:val="22"/>
              </w:rPr>
              <w:t>Jul 29 (latest)</w:t>
            </w:r>
          </w:p>
        </w:tc>
        <w:tc>
          <w:tcPr>
            <w:tcW w:type="dxa" w:w="2160"/>
          </w:tcPr>
          <w:p>
            <w:r>
              <w:rPr>
                <w:rFonts w:ascii="Calibri" w:hAnsi="Calibri"/>
                <w:sz w:val="22"/>
              </w:rPr>
              <w:t>102.0</w:t>
            </w:r>
          </w:p>
        </w:tc>
        <w:tc>
          <w:tcPr>
            <w:tcW w:type="dxa" w:w="2160"/>
          </w:tcPr>
          <w:p>
            <w:r>
              <w:rPr>
                <w:rFonts w:ascii="Calibri" w:hAnsi="Calibri"/>
                <w:sz w:val="22"/>
              </w:rPr>
              <w:t>106.3</w:t>
            </w:r>
          </w:p>
        </w:tc>
        <w:tc>
          <w:tcPr>
            <w:tcW w:type="dxa" w:w="2160"/>
          </w:tcPr>
          <w:p>
            <w:r>
              <w:rPr>
                <w:rFonts w:ascii="Calibri" w:hAnsi="Calibri"/>
                <w:sz w:val="22"/>
              </w:rPr>
              <w:t>104.1</w:t>
            </w:r>
          </w:p>
        </w:tc>
      </w:tr>
    </w:tbl>
    <w:p>
      <w:r>
        <w:rPr>
          <w:rFonts w:ascii="Calibri" w:hAnsi="Calibri"/>
          <w:i/>
          <w:color w:val="525866"/>
          <w:sz w:val="22"/>
        </w:rPr>
        <w:t>Note: Indexed to 100 at April 29, 2026 close. Key events: Jun 2 = Nareit REITweek (guidance reaffirmed); Jul 16 = Prologis Q2 beat (positive REIT sector catalyst). Source: Stock price data (Yahoo Finance via Implied platform).</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accumulation of positive peer read-throughs from PECO and BRX (both reporting Q2 beats with raised guidance), which de-risk the Q2 print; the macro wildcard is the Fed’s rate decision on July 29 and the potential for a September hike, which could pressure REIT valuations.</w:t>
      </w:r>
    </w:p>
    <w:p>
      <w:pPr>
        <w:pStyle w:val="ListBullet"/>
        <w:ind w:left="360" w:hanging="360"/>
      </w:pPr>
      <w:r>
        <w:rPr>
          <w:rFonts w:ascii="Calibri" w:hAnsi="Calibri"/>
          <w:b/>
          <w:color w:val="525866"/>
          <w:sz w:val="22"/>
        </w:rPr>
        <w:t>July 29, 2026 — Fed Rate Decision (Macro):</w:t>
      </w:r>
      <w:r>
        <w:rPr>
          <w:rFonts w:ascii="Calibri" w:hAnsi="Calibri"/>
          <w:color w:val="525866"/>
          <w:sz w:val="22"/>
        </w:rPr>
        <w:t xml:space="preserve"> The Federal Reserve is expected to hold rates steady at 3.50–3.75% at today’s meeting, with markets pricing a 70% probability of no change and a 30% probability of a 25 bps hike. A September hike is now priced at ~76% probability. Implication: A hold today is neutral-to-positive for REITs; any hawkish language pointing to September could pressure REG’s premium valuation.</w:t>
      </w:r>
    </w:p>
    <w:p>
      <w:pPr>
        <w:pStyle w:val="ListBullet"/>
        <w:ind w:left="360" w:hanging="360"/>
      </w:pPr>
      <w:r>
        <w:rPr>
          <w:rFonts w:ascii="Calibri" w:hAnsi="Calibri"/>
          <w:b/>
          <w:color w:val="525866"/>
          <w:sz w:val="22"/>
        </w:rPr>
        <w:t>July 27–28, 2026 — BRX Q2 2026 Earnings Beat (Peer Read-Through):</w:t>
      </w:r>
      <w:r>
        <w:rPr>
          <w:rFonts w:ascii="Calibri" w:hAnsi="Calibri"/>
          <w:color w:val="525866"/>
          <w:sz w:val="22"/>
        </w:rPr>
        <w:t xml:space="preserve"> Brixmor reported Q2 same-property NOI growth of 5.8% (above consensus), raised FY 2026 SS NOI guidance to 5.0–5.75%, and reported bad debt of 60–85 bps (below prior expectations). S&amp;P revised BRX’s outlook to positive. Strong positive read-through for REG on tenant health, leasing spreads, and SS NOI trajectory.</w:t>
      </w:r>
    </w:p>
    <w:p>
      <w:pPr>
        <w:pStyle w:val="ListBullet"/>
        <w:ind w:left="360" w:hanging="360"/>
      </w:pPr>
      <w:r>
        <w:rPr>
          <w:rFonts w:ascii="Calibri" w:hAnsi="Calibri"/>
          <w:b/>
          <w:color w:val="525866"/>
          <w:sz w:val="22"/>
        </w:rPr>
        <w:t>July 23–24, 2026 — PECO Q2 2026 Earnings Beat (Peer Read-Through):</w:t>
      </w:r>
      <w:r>
        <w:rPr>
          <w:rFonts w:ascii="Calibri" w:hAnsi="Calibri"/>
          <w:color w:val="525866"/>
          <w:sz w:val="22"/>
        </w:rPr>
        <w:t xml:space="preserve"> Phillips Edison reported Core FFO/share growth of 7.8%, SS NOI growth of 3.8%, raised FY 2026 guidance, and reported bad debt of ~70 bps (below expectations). Leased inline occupancy hit a record 95.5%. Moody’s revised PECO’s outlook to positive. Positive read-through for REG on grocery-anchored demand, occupancy, and credit quality.</w:t>
      </w:r>
    </w:p>
    <w:p>
      <w:pPr>
        <w:pStyle w:val="ListBullet"/>
        <w:ind w:left="360" w:hanging="360"/>
      </w:pPr>
      <w:r>
        <w:rPr>
          <w:rFonts w:ascii="Calibri" w:hAnsi="Calibri"/>
          <w:b/>
          <w:color w:val="525866"/>
          <w:sz w:val="22"/>
        </w:rPr>
        <w:t>July 16, 2026 — Prologis Q2 2026 Beat (Sector Catalyst):</w:t>
      </w:r>
      <w:r>
        <w:rPr>
          <w:rFonts w:ascii="Calibri" w:hAnsi="Calibri"/>
          <w:color w:val="525866"/>
          <w:sz w:val="22"/>
        </w:rPr>
        <w:t xml:space="preserve"> PLD reported Q2 upside and raised guidance, acting as a positive catalyst for the broader REIT sector. REG stock rallied from $79.99 to $82.38 (+3.0%) on July 16, its largest single-day move since the Q1 earnings date. Implication: Positive sector sentiment heading into REG’s print.</w:t>
      </w:r>
    </w:p>
    <w:p>
      <w:pPr>
        <w:pStyle w:val="ListBullet"/>
        <w:ind w:left="360" w:hanging="360"/>
      </w:pPr>
      <w:r>
        <w:rPr>
          <w:rFonts w:ascii="Calibri" w:hAnsi="Calibri"/>
          <w:b/>
          <w:color w:val="525866"/>
          <w:sz w:val="22"/>
        </w:rPr>
        <w:t>July 15, 2026 — 21st Century ROAD to Housing Act Enacted (Regulatory):</w:t>
      </w:r>
      <w:r>
        <w:rPr>
          <w:rFonts w:ascii="Calibri" w:hAnsi="Calibri"/>
          <w:color w:val="525866"/>
          <w:sz w:val="22"/>
        </w:rPr>
        <w:t xml:space="preserve"> Congress passed the most comprehensive housing bill of the century (House 358-32, Senate 85-5), addressing affordability and supply. Implication: Broadly positive for retail REITs in suburban trade areas as housing supply increases could support population growth in REG’s target markets.</w:t>
      </w:r>
    </w:p>
    <w:p>
      <w:pPr>
        <w:pStyle w:val="ListBullet"/>
        <w:ind w:left="360" w:hanging="360"/>
      </w:pPr>
      <w:r>
        <w:rPr>
          <w:rFonts w:ascii="Calibri" w:hAnsi="Calibri"/>
          <w:b/>
          <w:color w:val="525866"/>
          <w:sz w:val="22"/>
        </w:rPr>
        <w:t>June 25, 2026 — REG Announces Q2 2026 Earnings Call (Company):</w:t>
      </w:r>
      <w:r>
        <w:rPr>
          <w:rFonts w:ascii="Calibri" w:hAnsi="Calibri"/>
          <w:color w:val="525866"/>
          <w:sz w:val="22"/>
        </w:rPr>
        <w:t xml:space="preserve"> Regency Centers formally announced its Q2 2026 earnings conference call for July 30, 2026 at 11:00 AM ET. No pre-announcement or guidance update was included.</w:t>
      </w:r>
    </w:p>
    <w:p>
      <w:pPr>
        <w:pStyle w:val="ListBullet"/>
        <w:ind w:left="360" w:hanging="360"/>
      </w:pPr>
      <w:r>
        <w:rPr>
          <w:rFonts w:ascii="Calibri" w:hAnsi="Calibri"/>
          <w:b/>
          <w:color w:val="525866"/>
          <w:sz w:val="22"/>
        </w:rPr>
        <w:t>June 2, 2026 — Nareit REITweek Investor Conference (Company):</w:t>
      </w:r>
      <w:r>
        <w:rPr>
          <w:rFonts w:ascii="Calibri" w:hAnsi="Calibri"/>
          <w:color w:val="525866"/>
          <w:sz w:val="22"/>
        </w:rPr>
        <w:t xml:space="preserve"> CEO Lisa Palmer and CFO Michael Mas presented. Key messages: full-year guidance reaffirmed with no changes; leasing environment described as “one of the best in nearly 30 years” (COO Roth); development pipeline of ~$1B over 3 years reiterated; acquisition market characterized as ‘really challenging’ with development as the best use of free cash flow; mid-3% SS NOI growth midpoint reaffirmed. No post-Q1 guidance changes.</w:t>
      </w:r>
    </w:p>
    <w:p>
      <w:pPr>
        <w:pStyle w:val="ListBullet"/>
        <w:ind w:left="360" w:hanging="360"/>
      </w:pPr>
      <w:r>
        <w:rPr>
          <w:rFonts w:ascii="Calibri" w:hAnsi="Calibri"/>
          <w:b/>
          <w:color w:val="525866"/>
          <w:sz w:val="22"/>
        </w:rPr>
        <w:t>May 18, 2026 — Updated Investor Presentation (Company 8-K):</w:t>
      </w:r>
      <w:r>
        <w:rPr>
          <w:rFonts w:ascii="Calibri" w:hAnsi="Calibri"/>
          <w:color w:val="525866"/>
          <w:sz w:val="22"/>
        </w:rPr>
        <w:t xml:space="preserve"> Regency filed an updated investor presentation for upcoming meetings. No material guidance changes disclosed.</w:t>
      </w:r>
    </w:p>
    <w:p>
      <w:pPr>
        <w:pStyle w:val="ListBullet"/>
        <w:ind w:left="360" w:hanging="360"/>
      </w:pPr>
      <w:r>
        <w:rPr>
          <w:rFonts w:ascii="Calibri" w:hAnsi="Calibri"/>
          <w:b/>
          <w:color w:val="525866"/>
          <w:sz w:val="22"/>
        </w:rPr>
        <w:t>May 7, 2026 — Quarterly Dividend Declared (Company):</w:t>
      </w:r>
      <w:r>
        <w:rPr>
          <w:rFonts w:ascii="Calibri" w:hAnsi="Calibri"/>
          <w:color w:val="525866"/>
          <w:sz w:val="22"/>
        </w:rPr>
        <w:t xml:space="preserve"> Board declared the regular quarterly dividend. Shareholders approved board and compensation at the annual meeting. No surprises.</w:t>
      </w:r>
    </w:p>
    <w:p>
      <w:pPr>
        <w:pStyle w:val="ListBullet"/>
        <w:ind w:left="360" w:hanging="360"/>
      </w:pPr>
      <w:r>
        <w:rPr>
          <w:rFonts w:ascii="Calibri" w:hAnsi="Calibri"/>
          <w:b/>
          <w:color w:val="525866"/>
          <w:sz w:val="22"/>
        </w:rPr>
        <w:t>Ongoing — Macro: Fuel Prices &amp; Consumer Sentiment (Macro):</w:t>
      </w:r>
      <w:r>
        <w:rPr>
          <w:rFonts w:ascii="Calibri" w:hAnsi="Calibri"/>
          <w:color w:val="525866"/>
          <w:sz w:val="22"/>
        </w:rPr>
        <w:t xml:space="preserve"> National average gasoline prices reached $4.06/gallon (week of July 22), up 4.4% week-over-week, driven by the Iran conflict. Despite this, REG’s Q1 data showed foot traffic accelerating to +3% in April (above Q1’s +2.3%) even as fuel prices rose — a key data point management will likely update for Q2. Peer PECO reported 2% YoY traffic growth in June, suggesting the trend has held.</w:t>
      </w:r>
    </w:p>
    <w:p>
      <w:r>
        <w:br w:type="page"/>
      </w:r>
    </w:p>
    <w:p>
      <w:pPr>
        <w:pStyle w:val="Heading2"/>
      </w:pPr>
      <w:r>
        <w:rPr>
          <w:rFonts w:ascii="Calibri" w:hAnsi="Calibri"/>
          <w:b/>
          <w:color w:val="3B4259"/>
          <w:sz w:val="28"/>
        </w:rPr>
        <w:t>7. Insider Transaction Activity</w:t>
      </w:r>
    </w:p>
    <w:p>
      <w:r>
        <w:rPr>
          <w:rFonts w:ascii="Calibri" w:hAnsi="Calibri"/>
          <w:b/>
          <w:color w:val="525866"/>
          <w:sz w:val="22"/>
        </w:rPr>
        <w:t xml:space="preserve">Key Takeaway: </w:t>
      </w:r>
      <w:r>
        <w:rPr>
          <w:rFonts w:ascii="Calibri" w:hAnsi="Calibri"/>
          <w:color w:val="525866"/>
          <w:sz w:val="22"/>
        </w:rPr>
        <w:t>All insider activity since the Q1 earnings date has been open-market sales — no open-market buys — with the most notable being Executive Chairman Martin Stein’s large multi-vehicle sale of ~274,600 shares on May 4–5; while the absence of buys is not alarming given the stock’s premium valuation, the cluster of sales immediately post-earnings warrants monitoring.</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Martin E. Stein Jr.</w:t>
            </w:r>
          </w:p>
        </w:tc>
        <w:tc>
          <w:tcPr>
            <w:tcW w:type="dxa" w:w="1440"/>
          </w:tcPr>
          <w:p>
            <w:r>
              <w:rPr>
                <w:rFonts w:ascii="Calibri" w:hAnsi="Calibri"/>
                <w:sz w:val="22"/>
              </w:rPr>
              <w:t>Executive Chairman &amp; Director</w:t>
            </w:r>
          </w:p>
        </w:tc>
        <w:tc>
          <w:tcPr>
            <w:tcW w:type="dxa" w:w="1440"/>
          </w:tcPr>
          <w:p>
            <w:r>
              <w:rPr>
                <w:rFonts w:ascii="Calibri" w:hAnsi="Calibri"/>
                <w:sz w:val="22"/>
              </w:rPr>
              <w:t>Open Market Sale (Indirect — General Partnership)</w:t>
            </w:r>
          </w:p>
        </w:tc>
        <w:tc>
          <w:tcPr>
            <w:tcW w:type="dxa" w:w="1440"/>
          </w:tcPr>
          <w:p>
            <w:r>
              <w:rPr>
                <w:rFonts w:ascii="Calibri" w:hAnsi="Calibri"/>
                <w:sz w:val="22"/>
              </w:rPr>
              <w:t>157,892</w:t>
            </w:r>
          </w:p>
        </w:tc>
        <w:tc>
          <w:tcPr>
            <w:tcW w:type="dxa" w:w="1440"/>
          </w:tcPr>
          <w:p>
            <w:r>
              <w:rPr>
                <w:rFonts w:ascii="Calibri" w:hAnsi="Calibri"/>
                <w:sz w:val="22"/>
              </w:rPr>
              <w:t>May 4, 2026</w:t>
            </w:r>
          </w:p>
        </w:tc>
        <w:tc>
          <w:tcPr>
            <w:tcW w:type="dxa" w:w="1440"/>
          </w:tcPr>
          <w:p>
            <w:r>
              <w:rPr>
                <w:rFonts w:ascii="Calibri" w:hAnsi="Calibri"/>
                <w:sz w:val="22"/>
              </w:rPr>
              <w:t>Indirect sale via general partnership; post-sale balance 0 shares in this vehicle. Discretionary (no 10b5-1 flag).</w:t>
            </w:r>
          </w:p>
        </w:tc>
      </w:tr>
      <w:tr>
        <w:tc>
          <w:tcPr>
            <w:tcW w:type="dxa" w:w="1440"/>
          </w:tcPr>
          <w:p>
            <w:r>
              <w:rPr>
                <w:rFonts w:ascii="Calibri" w:hAnsi="Calibri"/>
                <w:sz w:val="22"/>
              </w:rPr>
              <w:t>Martin E. Stein Jr.</w:t>
            </w:r>
          </w:p>
        </w:tc>
        <w:tc>
          <w:tcPr>
            <w:tcW w:type="dxa" w:w="1440"/>
          </w:tcPr>
          <w:p>
            <w:r>
              <w:rPr>
                <w:rFonts w:ascii="Calibri" w:hAnsi="Calibri"/>
                <w:sz w:val="22"/>
              </w:rPr>
              <w:t>Executive Chairman &amp; Director</w:t>
            </w:r>
          </w:p>
        </w:tc>
        <w:tc>
          <w:tcPr>
            <w:tcW w:type="dxa" w:w="1440"/>
          </w:tcPr>
          <w:p>
            <w:r>
              <w:rPr>
                <w:rFonts w:ascii="Calibri" w:hAnsi="Calibri"/>
                <w:sz w:val="22"/>
              </w:rPr>
              <w:t>Open Market Sale (Indirect — Trust)</w:t>
            </w:r>
          </w:p>
        </w:tc>
        <w:tc>
          <w:tcPr>
            <w:tcW w:type="dxa" w:w="1440"/>
          </w:tcPr>
          <w:p>
            <w:r>
              <w:rPr>
                <w:rFonts w:ascii="Calibri" w:hAnsi="Calibri"/>
                <w:sz w:val="22"/>
              </w:rPr>
              <w:t>6,460</w:t>
            </w:r>
          </w:p>
        </w:tc>
        <w:tc>
          <w:tcPr>
            <w:tcW w:type="dxa" w:w="1440"/>
          </w:tcPr>
          <w:p>
            <w:r>
              <w:rPr>
                <w:rFonts w:ascii="Calibri" w:hAnsi="Calibri"/>
                <w:sz w:val="22"/>
              </w:rPr>
              <w:t>May 4, 2026</w:t>
            </w:r>
          </w:p>
        </w:tc>
        <w:tc>
          <w:tcPr>
            <w:tcW w:type="dxa" w:w="1440"/>
          </w:tcPr>
          <w:p>
            <w:r>
              <w:rPr>
                <w:rFonts w:ascii="Calibri" w:hAnsi="Calibri"/>
                <w:sz w:val="22"/>
              </w:rPr>
              <w:t>Indirect sale via trust; post-sale balance 0 shares in this vehicle. Discretionary.</w:t>
            </w:r>
          </w:p>
        </w:tc>
      </w:tr>
      <w:tr>
        <w:tc>
          <w:tcPr>
            <w:tcW w:type="dxa" w:w="1440"/>
          </w:tcPr>
          <w:p>
            <w:r>
              <w:rPr>
                <w:rFonts w:ascii="Calibri" w:hAnsi="Calibri"/>
                <w:sz w:val="22"/>
              </w:rPr>
              <w:t>Martin E. Stein Jr.</w:t>
            </w:r>
          </w:p>
        </w:tc>
        <w:tc>
          <w:tcPr>
            <w:tcW w:type="dxa" w:w="1440"/>
          </w:tcPr>
          <w:p>
            <w:r>
              <w:rPr>
                <w:rFonts w:ascii="Calibri" w:hAnsi="Calibri"/>
                <w:sz w:val="22"/>
              </w:rPr>
              <w:t>Executive Chairman &amp; Director</w:t>
            </w:r>
          </w:p>
        </w:tc>
        <w:tc>
          <w:tcPr>
            <w:tcW w:type="dxa" w:w="1440"/>
          </w:tcPr>
          <w:p>
            <w:r>
              <w:rPr>
                <w:rFonts w:ascii="Calibri" w:hAnsi="Calibri"/>
                <w:sz w:val="22"/>
              </w:rPr>
              <w:t>Open Market Sale (Indirect — Corporation)</w:t>
            </w:r>
          </w:p>
        </w:tc>
        <w:tc>
          <w:tcPr>
            <w:tcW w:type="dxa" w:w="1440"/>
          </w:tcPr>
          <w:p>
            <w:r>
              <w:rPr>
                <w:rFonts w:ascii="Calibri" w:hAnsi="Calibri"/>
                <w:sz w:val="22"/>
              </w:rPr>
              <w:t>110,263</w:t>
            </w:r>
          </w:p>
        </w:tc>
        <w:tc>
          <w:tcPr>
            <w:tcW w:type="dxa" w:w="1440"/>
          </w:tcPr>
          <w:p>
            <w:r>
              <w:rPr>
                <w:rFonts w:ascii="Calibri" w:hAnsi="Calibri"/>
                <w:sz w:val="22"/>
              </w:rPr>
              <w:t>May 4, 2026</w:t>
            </w:r>
          </w:p>
        </w:tc>
        <w:tc>
          <w:tcPr>
            <w:tcW w:type="dxa" w:w="1440"/>
          </w:tcPr>
          <w:p>
            <w:r>
              <w:rPr>
                <w:rFonts w:ascii="Calibri" w:hAnsi="Calibri"/>
                <w:sz w:val="22"/>
              </w:rPr>
              <w:t>Indirect sale via corporation; post-sale balance 0 shares in this vehicle. Discretionary.</w:t>
            </w:r>
          </w:p>
        </w:tc>
      </w:tr>
      <w:tr>
        <w:tc>
          <w:tcPr>
            <w:tcW w:type="dxa" w:w="1440"/>
          </w:tcPr>
          <w:p>
            <w:r>
              <w:rPr>
                <w:rFonts w:ascii="Calibri" w:hAnsi="Calibri"/>
                <w:sz w:val="22"/>
              </w:rPr>
              <w:t>Nicholas A. Wibbenmeyer</w:t>
            </w:r>
          </w:p>
        </w:tc>
        <w:tc>
          <w:tcPr>
            <w:tcW w:type="dxa" w:w="1440"/>
          </w:tcPr>
          <w:p>
            <w:r>
              <w:rPr>
                <w:rFonts w:ascii="Calibri" w:hAnsi="Calibri"/>
                <w:sz w:val="22"/>
              </w:rPr>
              <w:t>Western Regional President &amp; CIO</w:t>
            </w:r>
          </w:p>
        </w:tc>
        <w:tc>
          <w:tcPr>
            <w:tcW w:type="dxa" w:w="1440"/>
          </w:tcPr>
          <w:p>
            <w:r>
              <w:rPr>
                <w:rFonts w:ascii="Calibri" w:hAnsi="Calibri"/>
                <w:sz w:val="22"/>
              </w:rPr>
              <w:t>Open Market Sale</w:t>
            </w:r>
          </w:p>
        </w:tc>
        <w:tc>
          <w:tcPr>
            <w:tcW w:type="dxa" w:w="1440"/>
          </w:tcPr>
          <w:p>
            <w:r>
              <w:rPr>
                <w:rFonts w:ascii="Calibri" w:hAnsi="Calibri"/>
                <w:sz w:val="22"/>
              </w:rPr>
              <w:t>7,927</w:t>
            </w:r>
          </w:p>
        </w:tc>
        <w:tc>
          <w:tcPr>
            <w:tcW w:type="dxa" w:w="1440"/>
          </w:tcPr>
          <w:p>
            <w:r>
              <w:rPr>
                <w:rFonts w:ascii="Calibri" w:hAnsi="Calibri"/>
                <w:sz w:val="22"/>
              </w:rPr>
              <w:t>May 5, 2026</w:t>
            </w:r>
          </w:p>
        </w:tc>
        <w:tc>
          <w:tcPr>
            <w:tcW w:type="dxa" w:w="1440"/>
          </w:tcPr>
          <w:p>
            <w:r>
              <w:rPr>
                <w:rFonts w:ascii="Calibri" w:hAnsi="Calibri"/>
                <w:sz w:val="22"/>
              </w:rPr>
              <w:t>Direct sale; post-sale balance 33,069 shares. Discretionary (no 10b5-1 flag).</w:t>
            </w:r>
          </w:p>
        </w:tc>
      </w:tr>
      <w:tr>
        <w:tc>
          <w:tcPr>
            <w:tcW w:type="dxa" w:w="1440"/>
          </w:tcPr>
          <w:p>
            <w:r>
              <w:rPr>
                <w:rFonts w:ascii="Calibri" w:hAnsi="Calibri"/>
                <w:sz w:val="22"/>
              </w:rPr>
              <w:t>Terah L. Devereaux</w:t>
            </w:r>
          </w:p>
        </w:tc>
        <w:tc>
          <w:tcPr>
            <w:tcW w:type="dxa" w:w="1440"/>
          </w:tcPr>
          <w:p>
            <w:r>
              <w:rPr>
                <w:rFonts w:ascii="Calibri" w:hAnsi="Calibri"/>
                <w:sz w:val="22"/>
              </w:rPr>
              <w:t>Principal Accounting Officer</w:t>
            </w:r>
          </w:p>
        </w:tc>
        <w:tc>
          <w:tcPr>
            <w:tcW w:type="dxa" w:w="1440"/>
          </w:tcPr>
          <w:p>
            <w:r>
              <w:rPr>
                <w:rFonts w:ascii="Calibri" w:hAnsi="Calibri"/>
                <w:sz w:val="22"/>
              </w:rPr>
              <w:t>Open Market Sale</w:t>
            </w:r>
          </w:p>
        </w:tc>
        <w:tc>
          <w:tcPr>
            <w:tcW w:type="dxa" w:w="1440"/>
          </w:tcPr>
          <w:p>
            <w:r>
              <w:rPr>
                <w:rFonts w:ascii="Calibri" w:hAnsi="Calibri"/>
                <w:sz w:val="22"/>
              </w:rPr>
              <w:t>1,240</w:t>
            </w:r>
          </w:p>
        </w:tc>
        <w:tc>
          <w:tcPr>
            <w:tcW w:type="dxa" w:w="1440"/>
          </w:tcPr>
          <w:p>
            <w:r>
              <w:rPr>
                <w:rFonts w:ascii="Calibri" w:hAnsi="Calibri"/>
                <w:sz w:val="22"/>
              </w:rPr>
              <w:t>Jun 12, 2026</w:t>
            </w:r>
          </w:p>
        </w:tc>
        <w:tc>
          <w:tcPr>
            <w:tcW w:type="dxa" w:w="1440"/>
          </w:tcPr>
          <w:p>
            <w:r>
              <w:rPr>
                <w:rFonts w:ascii="Calibri" w:hAnsi="Calibri"/>
                <w:sz w:val="22"/>
              </w:rPr>
              <w:t>Direct sale; post-sale balance 17,370 shares. Smaller routine-sized transaction.</w:t>
            </w:r>
          </w:p>
        </w:tc>
      </w:tr>
    </w:tbl>
    <w:p>
      <w:r>
        <w:rPr>
          <w:rFonts w:ascii="Calibri" w:hAnsi="Calibri"/>
          <w:i/>
          <w:color w:val="525866"/>
          <w:sz w:val="22"/>
        </w:rPr>
        <w:t>Source: SEC Form 4 filings database. All transactions are open-market sales (transaction code S, disposition type D). No open-market purchases (code P) were filed in the period April 29 – July 29, 2026. No 10b5-1 plan flags were indicated on any of the above transactions.</w:t>
      </w:r>
    </w:p>
    <w:p>
      <w:r>
        <w:rPr>
          <w:rFonts w:ascii="Calibri" w:hAnsi="Calibri"/>
          <w:color w:val="525866"/>
          <w:sz w:val="22"/>
        </w:rPr>
        <w:t xml:space="preserve">The most notable activity is Executive Chairman Martin Stein’s coordinated sale of approximately </w:t>
      </w:r>
      <w:r>
        <w:rPr>
          <w:rFonts w:ascii="Calibri" w:hAnsi="Calibri"/>
          <w:b/>
          <w:color w:val="525866"/>
          <w:sz w:val="22"/>
        </w:rPr>
        <w:t>274,615 shares across three indirect vehicles</w:t>
      </w:r>
      <w:r>
        <w:rPr>
          <w:rFonts w:ascii="Calibri" w:hAnsi="Calibri"/>
          <w:color w:val="525866"/>
          <w:sz w:val="22"/>
        </w:rPr>
        <w:t xml:space="preserve"> (general partnership, trust, and corporation) on May 4, 2026 — the day after the Q1 earnings call — bringing all three vehicles to zero. While indirect sales by a founder/chairman through estate-planning vehicles are common and not necessarily bearish signals, the timing immediately post-earnings and the complete liquidation of three separate vehicles is worth flagging. No open-market buys have been filed by any insider since the Q1 print, which is a mild negative signal at the margin given the stock’s premium valuation.</w:t>
      </w:r>
    </w:p>
    <w:p>
      <w:r>
        <w:br w:type="page"/>
      </w:r>
    </w:p>
    <w:p>
      <w:pPr>
        <w:pStyle w:val="Heading2"/>
      </w:pPr>
      <w:r>
        <w:rPr>
          <w:rFonts w:ascii="Calibri" w:hAnsi="Calibri"/>
          <w:b/>
          <w:color w:val="3B4259"/>
          <w:sz w:val="28"/>
        </w:rPr>
        <w:t>8. Peer Read-Through: Current-Quarter (Q2 2026) Commentary Only</w:t>
      </w:r>
    </w:p>
    <w:p>
      <w:r>
        <w:rPr>
          <w:rFonts w:ascii="Calibri" w:hAnsi="Calibri"/>
          <w:b/>
          <w:color w:val="525866"/>
          <w:sz w:val="22"/>
        </w:rPr>
        <w:t xml:space="preserve">Key Takeaway: </w:t>
      </w:r>
      <w:r>
        <w:rPr>
          <w:rFonts w:ascii="Calibri" w:hAnsi="Calibri"/>
          <w:color w:val="525866"/>
          <w:sz w:val="22"/>
        </w:rPr>
        <w:t>All three grocery-anchored shopping center peers (PECO, BRX, AKR) reported Q2 2026 results in the last week, and the read-through for REG is uniformly positive: tenant demand is robust with no signs of slowing, bad debt is running below expectations, leasing spreads remain at multi-year highs, foot traffic is growing, and all three raised full-year guidance — setting a favorable backdrop for REG’s print tomorrow.</w:t>
      </w:r>
    </w:p>
    <w:p>
      <w:r>
        <w:rPr>
          <w:rFonts w:ascii="Calibri" w:hAnsi="Calibri"/>
          <w:b/>
          <w:i/>
          <w:color w:val="525866"/>
          <w:sz w:val="22"/>
        </w:rPr>
        <w:t xml:space="preserve">Scope note: </w:t>
      </w:r>
      <w:r>
        <w:rPr>
          <w:rFonts w:ascii="Calibri" w:hAnsi="Calibri"/>
          <w:i/>
          <w:color w:val="525866"/>
          <w:sz w:val="22"/>
        </w:rPr>
        <w:t>Only commentary about Q2 2026 operating trends or forward-looking statements made after the respective companies’ prior earnings calls is included below. Backward-looking commentary solely about prior-quarter results has been excluded.</w:t>
      </w:r>
    </w:p>
    <w:p>
      <w:pPr>
        <w:pStyle w:val="Heading3"/>
      </w:pPr>
      <w:r>
        <w:rPr>
          <w:rFonts w:ascii="Calibri" w:hAnsi="Calibri"/>
          <w:b/>
          <w:color w:val="3B4259"/>
          <w:sz w:val="24"/>
        </w:rPr>
        <w:t>8a. Phillips Edison &amp; Company (PECO) — Q2 2026 Earnings (Reported July 23–24, 2026)</w:t>
      </w:r>
    </w:p>
    <w:p>
      <w:r>
        <w:rPr>
          <w:rFonts w:ascii="Calibri" w:hAnsi="Calibri"/>
          <w:b/>
          <w:color w:val="525866"/>
          <w:sz w:val="22"/>
        </w:rPr>
        <w:t xml:space="preserve">Relevance to REG: </w:t>
      </w:r>
      <w:r>
        <w:rPr>
          <w:rFonts w:ascii="Calibri" w:hAnsi="Calibri"/>
          <w:color w:val="525866"/>
          <w:sz w:val="22"/>
        </w:rPr>
        <w:t>PECO is the closest direct comp — a pure-play grocery-anchored shopping center REIT with a similar tenant mix and suburban focus. Its Q2 results are the highest-quality read-through for REG’s same-property NOI, occupancy, leasing spreads, and bad debt.</w:t>
      </w:r>
    </w:p>
    <w:p>
      <w:pPr>
        <w:pStyle w:val="ListBullet"/>
        <w:ind w:left="360" w:hanging="360"/>
      </w:pPr>
      <w:r>
        <w:rPr>
          <w:rFonts w:ascii="Calibri" w:hAnsi="Calibri"/>
          <w:b/>
          <w:color w:val="525866"/>
          <w:sz w:val="22"/>
        </w:rPr>
        <w:t>Tenant Demand — No Signs of Slowing:</w:t>
      </w:r>
      <w:r>
        <w:rPr>
          <w:rFonts w:ascii="Calibri" w:hAnsi="Calibri"/>
          <w:color w:val="525866"/>
          <w:sz w:val="22"/>
        </w:rPr>
        <w:t xml:space="preserve"> “We continue to see high retailer demand with no current signs of slowing. Necessity-based categories, including quick service and fast casual restaurants, health and wellness, beauty, fitness services and Med Tail continue to be excellent drivers of demand.” 74% of PECO’s rents come from necessity-based goods and services. </w:t>
      </w:r>
      <w:r>
        <w:rPr>
          <w:rFonts w:ascii="Calibri" w:hAnsi="Calibri"/>
          <w:b/>
          <w:color w:val="525866"/>
          <w:sz w:val="22"/>
        </w:rPr>
        <w:t xml:space="preserve">REG read-through: </w:t>
      </w:r>
      <w:r>
        <w:rPr>
          <w:rFonts w:ascii="Calibri" w:hAnsi="Calibri"/>
          <w:color w:val="525866"/>
          <w:sz w:val="22"/>
        </w:rPr>
        <w:t>Directly validates REG’s grocery-anchored, necessity/value/convenience positioning and supports continued strong leasing activity in Q2.</w:t>
      </w:r>
    </w:p>
    <w:p>
      <w:pPr>
        <w:pStyle w:val="ListBullet"/>
        <w:ind w:left="360" w:hanging="360"/>
      </w:pPr>
      <w:r>
        <w:rPr>
          <w:rFonts w:ascii="Calibri" w:hAnsi="Calibri"/>
          <w:b/>
          <w:color w:val="525866"/>
          <w:sz w:val="22"/>
        </w:rPr>
        <w:t>Consumer Traffic — Resilient Despite Macro Headwinds:</w:t>
      </w:r>
      <w:r>
        <w:rPr>
          <w:rFonts w:ascii="Calibri" w:hAnsi="Calibri"/>
          <w:color w:val="525866"/>
          <w:sz w:val="22"/>
        </w:rPr>
        <w:t xml:space="preserve"> PECO reported 2% year-over-year traffic growth in June and 2% year-to-date. Management noted: “While consumers are increasingly seeking value, they’re continuing to make frequent trips to necessity-based destinations, which reinforces the strength of our grocery-anchored strategy.” </w:t>
      </w:r>
      <w:r>
        <w:rPr>
          <w:rFonts w:ascii="Calibri" w:hAnsi="Calibri"/>
          <w:b/>
          <w:color w:val="525866"/>
          <w:sz w:val="22"/>
        </w:rPr>
        <w:t xml:space="preserve">REG read-through: </w:t>
      </w:r>
      <w:r>
        <w:rPr>
          <w:rFonts w:ascii="Calibri" w:hAnsi="Calibri"/>
          <w:color w:val="525866"/>
          <w:sz w:val="22"/>
        </w:rPr>
        <w:t>REG reported +3% foot traffic in April (above Q1’s +2.3%); PECO’s June data suggests the trend has held through Q2 despite higher fuel prices.</w:t>
      </w:r>
    </w:p>
    <w:p>
      <w:pPr>
        <w:pStyle w:val="ListBullet"/>
        <w:ind w:left="360" w:hanging="360"/>
      </w:pPr>
      <w:r>
        <w:rPr>
          <w:rFonts w:ascii="Calibri" w:hAnsi="Calibri"/>
          <w:b/>
          <w:color w:val="525866"/>
          <w:sz w:val="22"/>
        </w:rPr>
        <w:t>Bad Debt — Better Than Expected:</w:t>
      </w:r>
      <w:r>
        <w:rPr>
          <w:rFonts w:ascii="Calibri" w:hAnsi="Calibri"/>
          <w:color w:val="525866"/>
          <w:sz w:val="22"/>
        </w:rPr>
        <w:t xml:space="preserve"> “Bad debt was lower than expected in the second quarter at approximately 70 basis points of revenue.” PECO lowered its full-year bad debt guidance, now expecting it to be “in line or slightly better than 2025.” </w:t>
      </w:r>
      <w:r>
        <w:rPr>
          <w:rFonts w:ascii="Calibri" w:hAnsi="Calibri"/>
          <w:b/>
          <w:color w:val="525866"/>
          <w:sz w:val="22"/>
        </w:rPr>
        <w:t xml:space="preserve">REG read-through: </w:t>
      </w:r>
      <w:r>
        <w:rPr>
          <w:rFonts w:ascii="Calibri" w:hAnsi="Calibri"/>
          <w:color w:val="525866"/>
          <w:sz w:val="22"/>
        </w:rPr>
        <w:t>REG guided bad debt below historical averages; PECO’s outperformance suggests REG’s credit quality assumptions may also prove conservative, representing potential upside to Operating FFO.</w:t>
      </w:r>
    </w:p>
    <w:p>
      <w:pPr>
        <w:pStyle w:val="ListBullet"/>
        <w:ind w:left="360" w:hanging="360"/>
      </w:pPr>
      <w:r>
        <w:rPr>
          <w:rFonts w:ascii="Calibri" w:hAnsi="Calibri"/>
          <w:b/>
          <w:color w:val="525866"/>
          <w:sz w:val="22"/>
        </w:rPr>
        <w:t>Occupancy — Record Highs:</w:t>
      </w:r>
      <w:r>
        <w:rPr>
          <w:rFonts w:ascii="Calibri" w:hAnsi="Calibri"/>
          <w:color w:val="525866"/>
          <w:sz w:val="22"/>
        </w:rPr>
        <w:t xml:space="preserve"> Q2 leased portfolio occupancy was 97.3%; leased inline occupancy hit a record 95.5%; economic inline occupancy was a record 94.8%. Record high portfolio ABR per square foot driven by highs for both anchors and inline retailers. </w:t>
      </w:r>
      <w:r>
        <w:rPr>
          <w:rFonts w:ascii="Calibri" w:hAnsi="Calibri"/>
          <w:b/>
          <w:color w:val="525866"/>
          <w:sz w:val="22"/>
        </w:rPr>
        <w:t xml:space="preserve">REG read-through: </w:t>
      </w:r>
      <w:r>
        <w:rPr>
          <w:rFonts w:ascii="Calibri" w:hAnsi="Calibri"/>
          <w:color w:val="525866"/>
          <w:sz w:val="22"/>
        </w:rPr>
        <w:t>REG’s leased occupancy was approaching 97% as of Q1; PECO’s record inline occupancy suggests the supply-demand dynamic supporting REG’s SNO pipeline conversion remains intact.</w:t>
      </w:r>
    </w:p>
    <w:p>
      <w:pPr>
        <w:pStyle w:val="ListBullet"/>
        <w:ind w:left="360" w:hanging="360"/>
      </w:pPr>
      <w:r>
        <w:rPr>
          <w:rFonts w:ascii="Calibri" w:hAnsi="Calibri"/>
          <w:b/>
          <w:color w:val="525866"/>
          <w:sz w:val="22"/>
        </w:rPr>
        <w:t>Leasing Spreads — Sustained Strength:</w:t>
      </w:r>
      <w:r>
        <w:rPr>
          <w:rFonts w:ascii="Calibri" w:hAnsi="Calibri"/>
          <w:color w:val="525866"/>
          <w:sz w:val="22"/>
        </w:rPr>
        <w:t xml:space="preserve"> Comparable renewal rent spreads of 21.2%; comparable new rent spreads of 33.7%. Inline leasing deals averaged record high annual rent bumps of 3.1%. </w:t>
      </w:r>
      <w:r>
        <w:rPr>
          <w:rFonts w:ascii="Calibri" w:hAnsi="Calibri"/>
          <w:b/>
          <w:color w:val="525866"/>
          <w:sz w:val="22"/>
        </w:rPr>
        <w:t xml:space="preserve">REG read-through: </w:t>
      </w:r>
      <w:r>
        <w:rPr>
          <w:rFonts w:ascii="Calibri" w:hAnsi="Calibri"/>
          <w:color w:val="525866"/>
          <w:sz w:val="22"/>
        </w:rPr>
        <w:t>REG reported cash re-leasing spreads of 12.1% in Q1 (different methodology); PECO’s sustained spread strength validates the favorable supply-demand backdrop that supports REG’s own spread trajectory.</w:t>
      </w:r>
    </w:p>
    <w:p>
      <w:pPr>
        <w:pStyle w:val="ListBullet"/>
        <w:ind w:left="360" w:hanging="360"/>
      </w:pPr>
      <w:r>
        <w:rPr>
          <w:rFonts w:ascii="Calibri" w:hAnsi="Calibri"/>
          <w:b/>
          <w:color w:val="525866"/>
          <w:sz w:val="22"/>
        </w:rPr>
        <w:t>Acquisition Market — Competitive but Active:</w:t>
      </w:r>
      <w:r>
        <w:rPr>
          <w:rFonts w:ascii="Calibri" w:hAnsi="Calibri"/>
          <w:color w:val="525866"/>
          <w:sz w:val="22"/>
        </w:rPr>
        <w:t xml:space="preserve"> PECO has seen a 33% increase in deals coming through the pipeline and a 25% increase in deals presented to its investment committee, while staying disciplined at 6.4–7.5% cap rates. The market “remains pretty aggressive, pretty competitive” with no reduction in cap rates despite higher interest rates. </w:t>
      </w:r>
      <w:r>
        <w:rPr>
          <w:rFonts w:ascii="Calibri" w:hAnsi="Calibri"/>
          <w:b/>
          <w:color w:val="525866"/>
          <w:sz w:val="22"/>
        </w:rPr>
        <w:t xml:space="preserve">REG read-through: </w:t>
      </w:r>
      <w:r>
        <w:rPr>
          <w:rFonts w:ascii="Calibri" w:hAnsi="Calibri"/>
          <w:color w:val="525866"/>
          <w:sz w:val="22"/>
        </w:rPr>
        <w:t>Consistent with REG management’s characterization of acquisitions as ‘really challenging’ at Nareit; validates REG’s pivot to development as the highest-return use of capital.</w:t>
      </w:r>
    </w:p>
    <w:p>
      <w:pPr>
        <w:pStyle w:val="ListBullet"/>
        <w:ind w:left="360" w:hanging="360"/>
      </w:pPr>
      <w:r>
        <w:rPr>
          <w:rFonts w:ascii="Calibri" w:hAnsi="Calibri"/>
          <w:b/>
          <w:color w:val="525866"/>
          <w:sz w:val="22"/>
        </w:rPr>
        <w:t>Kroger/Giant Eagle Acquisition — Positive Grocer Signal:</w:t>
      </w:r>
      <w:r>
        <w:rPr>
          <w:rFonts w:ascii="Calibri" w:hAnsi="Calibri"/>
          <w:color w:val="525866"/>
          <w:sz w:val="22"/>
        </w:rPr>
        <w:t xml:space="preserve"> PECO highlighted Kroger’s announced acquisition of Giant Eagle as “another positive indicator for the long-term strength of the grocery-anchored shopping center sector,” noting that “Kroger has a lot of places they can put their money — they’re putting them into bricks and mortar retail.” </w:t>
      </w:r>
      <w:r>
        <w:rPr>
          <w:rFonts w:ascii="Calibri" w:hAnsi="Calibri"/>
          <w:b/>
          <w:color w:val="525866"/>
          <w:sz w:val="22"/>
        </w:rPr>
        <w:t xml:space="preserve">REG read-through: </w:t>
      </w:r>
      <w:r>
        <w:rPr>
          <w:rFonts w:ascii="Calibri" w:hAnsi="Calibri"/>
          <w:color w:val="525866"/>
          <w:sz w:val="22"/>
        </w:rPr>
        <w:t>Directly positive for REG’s anchor tenant base and long-term lease demand.</w:t>
      </w:r>
    </w:p>
    <w:p>
      <w:pPr>
        <w:pStyle w:val="ListBullet"/>
        <w:ind w:left="360" w:hanging="360"/>
      </w:pPr>
      <w:r>
        <w:rPr>
          <w:rFonts w:ascii="Calibri" w:hAnsi="Calibri"/>
          <w:b/>
          <w:color w:val="525866"/>
          <w:sz w:val="22"/>
        </w:rPr>
        <w:t>Guidance Raised:</w:t>
      </w:r>
      <w:r>
        <w:rPr>
          <w:rFonts w:ascii="Calibri" w:hAnsi="Calibri"/>
          <w:color w:val="525866"/>
          <w:sz w:val="22"/>
        </w:rPr>
        <w:t xml:space="preserve"> PECO raised FY 2026 Core FFO/share guidance (reflecting 6.2% growth at midpoint), raised SS NOI growth guidance to 3.7% at midpoint (upper end of 3–4% long-term target), and raised gross acquisitions guidance to $500–$600M. </w:t>
      </w:r>
      <w:r>
        <w:rPr>
          <w:rFonts w:ascii="Calibri" w:hAnsi="Calibri"/>
          <w:b/>
          <w:color w:val="525866"/>
          <w:sz w:val="22"/>
        </w:rPr>
        <w:t xml:space="preserve">REG read-through: </w:t>
      </w:r>
      <w:r>
        <w:rPr>
          <w:rFonts w:ascii="Calibri" w:hAnsi="Calibri"/>
          <w:color w:val="525866"/>
          <w:sz w:val="22"/>
        </w:rPr>
        <w:t>A guidance raise by the closest peer is a positive setup for REG’s own guidance update tomorrow.</w:t>
      </w:r>
    </w:p>
    <w:p>
      <w:pPr>
        <w:pStyle w:val="Heading3"/>
      </w:pPr>
      <w:r>
        <w:rPr>
          <w:rFonts w:ascii="Calibri" w:hAnsi="Calibri"/>
          <w:b/>
          <w:color w:val="3B4259"/>
          <w:sz w:val="24"/>
        </w:rPr>
        <w:t>8b. Brixmor Property Group (BRX) — Q2 2026 Earnings (Reported July 27–28, 2026)</w:t>
      </w:r>
    </w:p>
    <w:p>
      <w:r>
        <w:rPr>
          <w:rFonts w:ascii="Calibri" w:hAnsi="Calibri"/>
          <w:b/>
          <w:color w:val="525866"/>
          <w:sz w:val="22"/>
        </w:rPr>
        <w:t xml:space="preserve">Relevance to REG: </w:t>
      </w:r>
      <w:r>
        <w:rPr>
          <w:rFonts w:ascii="Calibri" w:hAnsi="Calibri"/>
          <w:color w:val="525866"/>
          <w:sz w:val="22"/>
        </w:rPr>
        <w:t>BRX is a large-cap open-air shopping center REIT with a value-add redevelopment focus. Its Q2 results are particularly relevant for REG on same-property NOI growth, leasing spreads, SNO pipeline dynamics, and the impact of tenant bankruptcies (Painted Tree, Wren Kitchens).</w:t>
      </w:r>
    </w:p>
    <w:p>
      <w:pPr>
        <w:pStyle w:val="ListBullet"/>
        <w:ind w:left="360" w:hanging="360"/>
      </w:pPr>
      <w:r>
        <w:rPr>
          <w:rFonts w:ascii="Calibri" w:hAnsi="Calibri"/>
          <w:b/>
          <w:color w:val="525866"/>
          <w:sz w:val="22"/>
        </w:rPr>
        <w:t>Same-Property NOI Growth — Strong at 5.8%:</w:t>
      </w:r>
      <w:r>
        <w:rPr>
          <w:rFonts w:ascii="Calibri" w:hAnsi="Calibri"/>
          <w:color w:val="525866"/>
          <w:sz w:val="22"/>
        </w:rPr>
        <w:t xml:space="preserve"> BRX delivered 5.8% SS NOI growth in Q2, driven by a 440 bps contribution from base rent. FFO of $0.58/share was partially offset by straight-line rent reversals from Painted Tree and Wren Kitchens bankruptcies. Management noted: “We expect non-cash rental income to return to our run rate for the remainder of the year.” </w:t>
      </w:r>
      <w:r>
        <w:rPr>
          <w:rFonts w:ascii="Calibri" w:hAnsi="Calibri"/>
          <w:b/>
          <w:color w:val="525866"/>
          <w:sz w:val="22"/>
        </w:rPr>
        <w:t xml:space="preserve">REG read-through: </w:t>
      </w:r>
      <w:r>
        <w:rPr>
          <w:rFonts w:ascii="Calibri" w:hAnsi="Calibri"/>
          <w:color w:val="525866"/>
          <w:sz w:val="22"/>
        </w:rPr>
        <w:t>REG also has ongoing bankruptcy filings; BRX’s experience suggests the impact is manageable and temporary, with non-cash items normalizing quickly.</w:t>
      </w:r>
    </w:p>
    <w:p>
      <w:pPr>
        <w:pStyle w:val="ListBullet"/>
        <w:ind w:left="360" w:hanging="360"/>
      </w:pPr>
      <w:r>
        <w:rPr>
          <w:rFonts w:ascii="Calibri" w:hAnsi="Calibri"/>
          <w:b/>
          <w:color w:val="525866"/>
          <w:sz w:val="22"/>
        </w:rPr>
        <w:t>Leasing Spreads — Above 30% for Three Consecutive Years:</w:t>
      </w:r>
      <w:r>
        <w:rPr>
          <w:rFonts w:ascii="Calibri" w:hAnsi="Calibri"/>
          <w:color w:val="525866"/>
          <w:sz w:val="22"/>
        </w:rPr>
        <w:t xml:space="preserve"> BRX executed 1.4M sq ft of new and renewal leases at a blended cash spread of 19% (new: 31%, renewals: 16%). “New lease spreads have now remained above 30% for three years, while renewal spreads in the mid-teens continue to reflect the lack of available space.” Record embedded rent growth of 2.8% across new and renewal leases. </w:t>
      </w:r>
      <w:r>
        <w:rPr>
          <w:rFonts w:ascii="Calibri" w:hAnsi="Calibri"/>
          <w:b/>
          <w:color w:val="525866"/>
          <w:sz w:val="22"/>
        </w:rPr>
        <w:t xml:space="preserve">REG read-through: </w:t>
      </w:r>
      <w:r>
        <w:rPr>
          <w:rFonts w:ascii="Calibri" w:hAnsi="Calibri"/>
          <w:color w:val="525866"/>
          <w:sz w:val="22"/>
        </w:rPr>
        <w:t>REG’s cash spreads of 12.1% in Q1 use a different methodology, but the sustained above-30% new lease spread environment at BRX validates the structural supply-demand dynamic that supports REG’s own spread trajectory.</w:t>
      </w:r>
    </w:p>
    <w:p>
      <w:pPr>
        <w:pStyle w:val="ListBullet"/>
        <w:ind w:left="360" w:hanging="360"/>
      </w:pPr>
      <w:r>
        <w:rPr>
          <w:rFonts w:ascii="Calibri" w:hAnsi="Calibri"/>
          <w:b/>
          <w:color w:val="525866"/>
          <w:sz w:val="22"/>
        </w:rPr>
        <w:t>Small Shop Occupancy — Record High:</w:t>
      </w:r>
      <w:r>
        <w:rPr>
          <w:rFonts w:ascii="Calibri" w:hAnsi="Calibri"/>
          <w:color w:val="525866"/>
          <w:sz w:val="22"/>
        </w:rPr>
        <w:t xml:space="preserve"> Small shop occupancy reached a new record of 92.6%. Total leased occupancy dipped 30 bps sequentially to 94.8% due to proactive move-outs at redevelopment assets and Painted Tree/Wren Kitchens recaptures — but management noted this was “as expected” and guided a return to growth in H2 2026. Six of eight recaptured Painted Tree boxes are already at lease at spreads over 40%. </w:t>
      </w:r>
      <w:r>
        <w:rPr>
          <w:rFonts w:ascii="Calibri" w:hAnsi="Calibri"/>
          <w:b/>
          <w:color w:val="525866"/>
          <w:sz w:val="22"/>
        </w:rPr>
        <w:t xml:space="preserve">REG read-through: </w:t>
      </w:r>
      <w:r>
        <w:rPr>
          <w:rFonts w:ascii="Calibri" w:hAnsi="Calibri"/>
          <w:color w:val="525866"/>
          <w:sz w:val="22"/>
        </w:rPr>
        <w:t>REG’s SNO pipeline conversion and proactive re-leasing of occupied space mirrors BRX’s strategy; the rapid re-leasing of bankrupt space at elevated spreads is a direct positive read-through.</w:t>
      </w:r>
    </w:p>
    <w:p>
      <w:pPr>
        <w:pStyle w:val="ListBullet"/>
        <w:ind w:left="360" w:hanging="360"/>
      </w:pPr>
      <w:r>
        <w:rPr>
          <w:rFonts w:ascii="Calibri" w:hAnsi="Calibri"/>
          <w:b/>
          <w:color w:val="525866"/>
          <w:sz w:val="22"/>
        </w:rPr>
        <w:t>Consumer Traffic — Continued Growth:</w:t>
      </w:r>
      <w:r>
        <w:rPr>
          <w:rFonts w:ascii="Calibri" w:hAnsi="Calibri"/>
          <w:color w:val="525866"/>
          <w:sz w:val="22"/>
        </w:rPr>
        <w:t xml:space="preserve"> “Visits to our centers continue to grow.” Retailers are “prioritizing stores as the hub of customer engagement, fulfillment and distribution.” Tenant base described as “the strongest the company has ever had.” Small shop move-outs year-to-date at record lows; retention rates up 300 bps year-over-year. </w:t>
      </w:r>
      <w:r>
        <w:rPr>
          <w:rFonts w:ascii="Calibri" w:hAnsi="Calibri"/>
          <w:b/>
          <w:color w:val="525866"/>
          <w:sz w:val="22"/>
        </w:rPr>
        <w:t xml:space="preserve">REG read-through: </w:t>
      </w:r>
      <w:r>
        <w:rPr>
          <w:rFonts w:ascii="Calibri" w:hAnsi="Calibri"/>
          <w:color w:val="525866"/>
          <w:sz w:val="22"/>
        </w:rPr>
        <w:t>Consistent with REG’s own foot traffic data and management’s characterization of tenant health as ‘extraordinarily high.’</w:t>
      </w:r>
    </w:p>
    <w:p>
      <w:pPr>
        <w:pStyle w:val="ListBullet"/>
        <w:ind w:left="360" w:hanging="360"/>
      </w:pPr>
      <w:r>
        <w:rPr>
          <w:rFonts w:ascii="Calibri" w:hAnsi="Calibri"/>
          <w:b/>
          <w:color w:val="525866"/>
          <w:sz w:val="22"/>
        </w:rPr>
        <w:t>Bad Debt — Better Than Expected:</w:t>
      </w:r>
      <w:r>
        <w:rPr>
          <w:rFonts w:ascii="Calibri" w:hAnsi="Calibri"/>
          <w:color w:val="525866"/>
          <w:sz w:val="22"/>
        </w:rPr>
        <w:t xml:space="preserve"> BRX raised its 2026 outlook, now expecting revenues deemed uncollectible of 60–85 bps of total revenues, “reflecting the strength of our tenant base.” Collections on recurring monthly rent described as “very strong across the portfolio.” </w:t>
      </w:r>
      <w:r>
        <w:rPr>
          <w:rFonts w:ascii="Calibri" w:hAnsi="Calibri"/>
          <w:b/>
          <w:color w:val="525866"/>
          <w:sz w:val="22"/>
        </w:rPr>
        <w:t xml:space="preserve">REG read-through: </w:t>
      </w:r>
      <w:r>
        <w:rPr>
          <w:rFonts w:ascii="Calibri" w:hAnsi="Calibri"/>
          <w:color w:val="525866"/>
          <w:sz w:val="22"/>
        </w:rPr>
        <w:t>Second consecutive peer confirming below-expectation bad debt in Q2; strong positive signal for REG’s own credit loss guidance.</w:t>
      </w:r>
    </w:p>
    <w:p>
      <w:pPr>
        <w:pStyle w:val="ListBullet"/>
        <w:ind w:left="360" w:hanging="360"/>
      </w:pPr>
      <w:r>
        <w:rPr>
          <w:rFonts w:ascii="Calibri" w:hAnsi="Calibri"/>
          <w:b/>
          <w:color w:val="525866"/>
          <w:sz w:val="22"/>
        </w:rPr>
        <w:t>SNO Pipeline — Record $71M:</w:t>
      </w:r>
      <w:r>
        <w:rPr>
          <w:rFonts w:ascii="Calibri" w:hAnsi="Calibri"/>
          <w:color w:val="525866"/>
          <w:sz w:val="22"/>
        </w:rPr>
        <w:t xml:space="preserve"> BRX’s signed-but-not-commenced pipeline reached a record $71M of annualized base rent, with $29M expected to commence in H2 2026 and ~$37M coming online in 2027. “A significant portion of that pipeline commences in 2027 and beyond, providing visibility well beyond the current year.” </w:t>
      </w:r>
      <w:r>
        <w:rPr>
          <w:rFonts w:ascii="Calibri" w:hAnsi="Calibri"/>
          <w:b/>
          <w:color w:val="525866"/>
          <w:sz w:val="22"/>
        </w:rPr>
        <w:t xml:space="preserve">REG read-through: </w:t>
      </w:r>
      <w:r>
        <w:rPr>
          <w:rFonts w:ascii="Calibri" w:hAnsi="Calibri"/>
          <w:color w:val="525866"/>
          <w:sz w:val="22"/>
        </w:rPr>
        <w:t>REG’s own SNO pipeline of ~$42M is similarly structured; BRX’s record pipeline validates the sector-wide dynamic of tenants signing leases well in advance of delivery.</w:t>
      </w:r>
    </w:p>
    <w:p>
      <w:pPr>
        <w:pStyle w:val="ListBullet"/>
        <w:ind w:left="360" w:hanging="360"/>
      </w:pPr>
      <w:r>
        <w:rPr>
          <w:rFonts w:ascii="Calibri" w:hAnsi="Calibri"/>
          <w:b/>
          <w:color w:val="525866"/>
          <w:sz w:val="22"/>
        </w:rPr>
        <w:t>Guidance Raised:</w:t>
      </w:r>
      <w:r>
        <w:rPr>
          <w:rFonts w:ascii="Calibri" w:hAnsi="Calibri"/>
          <w:color w:val="525866"/>
          <w:sz w:val="22"/>
        </w:rPr>
        <w:t xml:space="preserve"> BRX raised FY 2026 SS NOI growth guidance to 5.0–5.75% and FFO guidance to $2.35–$2.37/share. S&amp;P revised BRX’s outlook to positive. </w:t>
      </w:r>
      <w:r>
        <w:rPr>
          <w:rFonts w:ascii="Calibri" w:hAnsi="Calibri"/>
          <w:b/>
          <w:color w:val="525866"/>
          <w:sz w:val="22"/>
        </w:rPr>
        <w:t xml:space="preserve">REG read-through: </w:t>
      </w:r>
      <w:r>
        <w:rPr>
          <w:rFonts w:ascii="Calibri" w:hAnsi="Calibri"/>
          <w:color w:val="525866"/>
          <w:sz w:val="22"/>
        </w:rPr>
        <w:t>Second peer raising guidance; positive setup for REG’s own guidance update.</w:t>
      </w:r>
    </w:p>
    <w:p>
      <w:pPr>
        <w:pStyle w:val="ListBullet"/>
        <w:ind w:left="360" w:hanging="360"/>
      </w:pPr>
      <w:r>
        <w:rPr>
          <w:rFonts w:ascii="Calibri" w:hAnsi="Calibri"/>
          <w:b/>
          <w:color w:val="525866"/>
          <w:sz w:val="22"/>
        </w:rPr>
        <w:t>Acquisition Market — Cap Rates Stable:</w:t>
      </w:r>
      <w:r>
        <w:rPr>
          <w:rFonts w:ascii="Calibri" w:hAnsi="Calibri"/>
          <w:color w:val="525866"/>
          <w:sz w:val="22"/>
        </w:rPr>
        <w:t xml:space="preserve"> BRX completed four acquisitions totaling $164M at a blended cap rate of “a low six.” “Cap rates seem to be generally stable despite some of the volatility you’ve seen in the rate movement.” Municipalities are becoming “much more accommodating and willing to allow for densification.” </w:t>
      </w:r>
      <w:r>
        <w:rPr>
          <w:rFonts w:ascii="Calibri" w:hAnsi="Calibri"/>
          <w:b/>
          <w:color w:val="525866"/>
          <w:sz w:val="22"/>
        </w:rPr>
        <w:t xml:space="preserve">REG read-through: </w:t>
      </w:r>
      <w:r>
        <w:rPr>
          <w:rFonts w:ascii="Calibri" w:hAnsi="Calibri"/>
          <w:color w:val="525866"/>
          <w:sz w:val="22"/>
        </w:rPr>
        <w:t>Stable cap rates validate REG’s development-first strategy (7%+ yields vs. mid-5s acquisition cap rates); densification trend is positive for REG’s redevelopment pipeline.</w:t>
      </w:r>
    </w:p>
    <w:p>
      <w:r>
        <w:rPr>
          <w:rFonts w:ascii="Calibri" w:hAnsi="Calibri"/>
          <w:i/>
          <w:color w:val="525866"/>
          <w:sz w:val="22"/>
        </w:rPr>
        <w:t>Sources: PECO Q2 2026 Earnings Call transcript (July 24, 2026); BRX Q2 2026 Earnings Call transcript (July 28, 2026); AKR Q2 2026 Earnings Release (July 28, 2026). All commentary reflects Q2 2026 operating trends and forward-looking statements made after each company’s prior earnings call. Prior-quarter backward-looking commentary has been excluded.</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