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egn-earnings-predictions--2026-07-30"/>
    <w:p>
      <w:pPr>
        <w:pStyle w:val="Heading1"/>
      </w:pPr>
      <w:r>
        <w:t xml:space="preserve">REGN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~$3.90B vs. cons $3.82B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(2Q26, incl. ~$1.00 IPR&amp;D charge)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~$10.60 vs. cons $10.26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EYLEA HD U.S.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505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490M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Sanofi collaboration revenue / profit-share step-up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full-profit-share begins 3Q26, ~</w:t>
            </w:r>
            <m:oMath>
              <m:r>
                <m:t>2.30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2.13B (3Q26 collab rev)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GAAP gross margin (Limerick disruption)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~77-78% vs. cons ~77-78% (FY26, already cut from 79-80%)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EYLEA base (ex-HD) U.S. demand trajectory / biosimilar timing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mid-to-high-teens % demand decline vs. cons ~-15%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EYLEA HD PFS approval decision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decision expected in ~2Q/near-term vs. cons ~1 of 2 apps approved (2H26)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Stock ran ~11% into the print (from ~</w:t>
            </w:r>
            <m:oMath>
              <m:r>
                <m:t>651</m:t>
              </m:r>
              <m:r>
                <m:t>o</m:t>
              </m:r>
              <m:r>
                <m:t>n</m:t>
              </m:r>
              <m:r>
                <m:t>7</m:t>
              </m:r>
              <m:r>
                <m:rPr>
                  <m:sty m:val="p"/>
                </m:rPr>
                <m:t>/</m:t>
              </m:r>
              <m:r>
                <m:t>23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696), so a largely 'known' quarter with a beat is mostly priced. Even on top-line/EPS beats, out-period math cuts estimates: accelerating EYLEA base erosion into 2H26 biosimilars, the ~$1.00 IPR&amp;D drag, Limerick GAAP margin pressure and the unresolved fianlimab/oncology overhang pull 2H and FY revisions lower, so an initial pop should fade back toward flat.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2026-07-29T18:13:53Z</dcterms:created>
  <dcterms:modified xsi:type="dcterms:W3CDTF">2026-07-29T18:13:53Z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