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egn-earnings-predictions--2026-07-30"/>
    <w:p>
      <w:pPr>
        <w:pStyle w:val="Heading1"/>
      </w:pPr>
      <w:r>
        <w:t xml:space="preserve">REGN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U.S. EYLEA HD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~$510M vs. cons $515M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Combined U.S. EYLEA HD and EYLEA sales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~$887M vs. cons $905M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Global Dupixent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~$5.35B vs. cons $5.29B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Combined U.S. EYLEA HD and EYLEA sales outlook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~$1.68B vs. cons $1.78B (2H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EYLEA HD prefilled-syringe decision timing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~2026Q4 vs. cons 2026Q3 (decision timing)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Non-GAAP R&amp;D expense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~$6.00B vs. cons $6.00B (FY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Sanofi collaboration revenue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~$1.78B vs. cons $1.72B (2026Q3)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-4.3%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-6.2% (FOLLOW-THROUGH)</w:t>
            </w:r>
          </w:p>
        </w:tc>
        <w:tc>
          <w:tcPr/>
          <w:p>
            <w:pPr>
              <w:pStyle w:val="Compact"/>
            </w:pPr>
            <w:r>
              <w:t xml:space="preserve">The predicted -6.2% five-day residual versus a 0.0% neutral residual reflects follow-through as weaker 2H retinal-franchise math and a PFS delay drive estimate cuts that outweigh the Q3 Sanofi profit-share step-up.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2026-07-29T18:09:44Z</dcterms:created>
  <dcterms:modified xsi:type="dcterms:W3CDTF">2026-07-29T18:09:44Z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