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regn-q2-2026-earnings-preview"/>
    <w:p>
      <w:pPr>
        <w:pStyle w:val="Heading1"/>
      </w:pPr>
      <w:r>
        <w:t xml:space="preserve">REGN Q2 2026 Earnings Preview</w:t>
      </w:r>
    </w:p>
    <w:p>
      <w:pPr>
        <w:pStyle w:val="FirstParagraph"/>
      </w:pPr>
      <w:r>
        <w:rPr>
          <w:b/>
          <w:bCs/>
        </w:rPr>
        <w:t xml:space="preserve">Report date:</w:t>
      </w:r>
      <w:r>
        <w:t xml:space="preserve"> </w:t>
      </w:r>
      <w:r>
        <w:t xml:space="preserve">July 30, 2026, before the market opens</w:t>
      </w:r>
      <w:r>
        <w:br/>
      </w:r>
      <w:r>
        <w:rPr>
          <w:b/>
          <w:bCs/>
        </w:rPr>
        <w:t xml:space="preserve">Conference call:</w:t>
      </w:r>
      <w:r>
        <w:t xml:space="preserve"> </w:t>
      </w:r>
      <w:r>
        <w:t xml:space="preserve">8:30 a.m. ET (</w:t>
      </w:r>
      <w:hyperlink r:id="rId9">
        <w:r>
          <w:rPr>
            <w:rStyle w:val="Hyperlink"/>
          </w:rPr>
          <w:t xml:space="preserve">investor.regeneron.com</w:t>
        </w:r>
      </w:hyperlink>
      <w:r>
        <w:t xml:space="preserve">)</w:t>
      </w:r>
    </w:p>
    <w:bookmarkStart w:id="10" w:name="investment-view-going-into-the-print"/>
    <w:p>
      <w:pPr>
        <w:pStyle w:val="Heading2"/>
      </w:pPr>
      <w:r>
        <w:t xml:space="preserve">Investment view going into the print</w:t>
      </w:r>
    </w:p>
    <w:p>
      <w:pPr>
        <w:pStyle w:val="FirstParagraph"/>
      </w:pPr>
      <w:r>
        <w:t xml:space="preserve">Regeneron enters Q2 earnings with a familiar tension:</w:t>
      </w:r>
      <w:r>
        <w:t xml:space="preserve"> </w:t>
      </w:r>
      <w:r>
        <w:rPr>
          <w:b/>
          <w:bCs/>
        </w:rPr>
        <w:t xml:space="preserve">Dupixent and Libtayo are growing rapidly, but the higher-value U.S. retinal franchise remains under pressure, while a recent Phase 3 failure has increased scrutiny of the pipeline.</w:t>
      </w:r>
    </w:p>
    <w:p>
      <w:pPr>
        <w:pStyle w:val="BodyText"/>
      </w:pPr>
      <w:r>
        <w:t xml:space="preserve">The most important question is not whether Regeneron can beat a headline EPS estimate. It is whether management can show that:</w:t>
      </w:r>
    </w:p>
    <w:p>
      <w:pPr>
        <w:pStyle w:val="Compact"/>
        <w:numPr>
          <w:ilvl w:val="0"/>
          <w:numId w:val="1001"/>
        </w:numPr>
      </w:pPr>
      <w:r>
        <w:rPr>
          <w:b/>
          <w:bCs/>
        </w:rPr>
        <w:t xml:space="preserve">EYLEA HD is beginning to stabilize total U.S. retinal sales;</w:t>
      </w:r>
    </w:p>
    <w:p>
      <w:pPr>
        <w:pStyle w:val="Compact"/>
        <w:numPr>
          <w:ilvl w:val="0"/>
          <w:numId w:val="1001"/>
        </w:numPr>
      </w:pPr>
      <w:r>
        <w:rPr>
          <w:b/>
          <w:bCs/>
        </w:rPr>
        <w:t xml:space="preserve">Dupixent profit growth can offset legacy EYLEA erosion;</w:t>
      </w:r>
    </w:p>
    <w:p>
      <w:pPr>
        <w:pStyle w:val="Compact"/>
        <w:numPr>
          <w:ilvl w:val="0"/>
          <w:numId w:val="1001"/>
        </w:numPr>
      </w:pPr>
      <w:r>
        <w:rPr>
          <w:b/>
          <w:bCs/>
        </w:rPr>
        <w:t xml:space="preserve">The delayed EYLEA HD prefilled syringe is approaching resolution; and</w:t>
      </w:r>
    </w:p>
    <w:p>
      <w:pPr>
        <w:pStyle w:val="Compact"/>
        <w:numPr>
          <w:ilvl w:val="0"/>
          <w:numId w:val="1001"/>
        </w:numPr>
      </w:pPr>
      <w:r>
        <w:rPr>
          <w:b/>
          <w:bCs/>
        </w:rPr>
        <w:t xml:space="preserve">The pipeline still offers credible growth following the fianlimab setback.</w:t>
      </w:r>
    </w:p>
    <w:p>
      <w:pPr>
        <w:pStyle w:val="FirstParagraph"/>
      </w:pPr>
      <w:r>
        <w:t xml:space="preserve">REGN trades around</w:t>
      </w:r>
      <w:r>
        <w:t xml:space="preserve"> </w:t>
      </w:r>
      <w:r>
        <w:rPr>
          <w:b/>
          <w:bCs/>
        </w:rPr>
        <w:t xml:space="preserve">$696</w:t>
      </w:r>
      <w:r>
        <w:t xml:space="preserve">, down approximately 10% from year-end 2025 but only modestly below its pre-fianlimab-failure level. That suggests much of the clinical setback has already been absorbed, leaving the quarterly reaction especially sensitive to EYLEA trends and management's forward commentary.</w:t>
      </w:r>
    </w:p>
    <w:bookmarkEnd w:id="10"/>
    <w:bookmarkStart w:id="14" w:name="headline-expectationsand-an-eps-caveat"/>
    <w:p>
      <w:pPr>
        <w:pStyle w:val="Heading2"/>
      </w:pPr>
      <w:r>
        <w:t xml:space="preserve">Headline expectations—and an EPS caveat</w:t>
      </w:r>
    </w:p>
    <w:p>
      <w:pPr>
        <w:pStyle w:val="FirstParagraph"/>
      </w:pPr>
      <w:r>
        <w:t xml:space="preserve">Public estimate aggregators generally place Q2 revenue around</w:t>
      </w:r>
      <w:r>
        <w:t xml:space="preserve"> </w:t>
      </w:r>
      <m:oMath>
        <m:r>
          <m:t>3.8</m:t>
        </m:r>
        <m:r>
          <m:rPr>
            <m:sty m:val="p"/>
          </m:rPr>
          <m:t>–</m:t>
        </m:r>
      </m:oMath>
      <w:r>
        <w:rPr>
          <w:b/>
          <w:bCs/>
        </w:rPr>
        <w:t xml:space="preserve">3.9 billion</w:t>
      </w:r>
      <w:r>
        <w:t xml:space="preserve"> </w:t>
      </w:r>
      <w:r>
        <w:t xml:space="preserve">and adjusted EPS around</w:t>
      </w:r>
      <w:r>
        <w:t xml:space="preserve"> </w:t>
      </w:r>
      <m:oMath>
        <m:r>
          <m:t>10.2</m:t>
        </m:r>
        <m:r>
          <m:rPr>
            <m:sty m:val="p"/>
          </m:rPr>
          <m:t>–</m:t>
        </m:r>
      </m:oMath>
      <w:r>
        <w:rPr>
          <w:b/>
          <w:bCs/>
        </w:rPr>
        <w:t xml:space="preserve">10.7</w:t>
      </w:r>
      <w:r>
        <w:t xml:space="preserve">. However, estimate definitions vary considerably: one Zacks-derived data set shows an $8.00 current-quarter estimate, while other services show estimates above $10. (</w:t>
      </w:r>
      <w:hyperlink r:id="rId11">
        <w:r>
          <w:rPr>
            <w:rStyle w:val="Hyperlink"/>
          </w:rPr>
          <w:t xml:space="preserve">tipranks.com</w:t>
        </w:r>
      </w:hyperlink>
      <w:r>
        <w:t xml:space="preserve">)</w:t>
      </w:r>
    </w:p>
    <w:p>
      <w:pPr>
        <w:pStyle w:val="BodyText"/>
      </w:pPr>
      <w:r>
        <w:t xml:space="preserve">The principal complication is a previously disclosed</w:t>
      </w:r>
      <w:r>
        <w:t xml:space="preserve"> </w:t>
      </w:r>
      <w:r>
        <w:rPr>
          <w:b/>
          <w:bCs/>
        </w:rPr>
        <w:t xml:space="preserve">$127 million acquired in-process R&amp;D charge**, expected to reduce both GAAP and non-GAAP diluted EPS by approximately **$</w:t>
      </w:r>
      <w:r>
        <w:rPr>
          <w:b/>
          <w:bCs/>
        </w:rPr>
        <w:t xml:space="preserve">1.00</w:t>
      </w:r>
      <w:r>
        <w:t xml:space="preserve">. Investors should therefore compare reported EPS against estimates using the same treatment of that charge; otherwise, an apparent beat or miss may be largely definitional. (</w:t>
      </w:r>
      <w:hyperlink r:id="rId12">
        <w:r>
          <w:rPr>
            <w:rStyle w:val="Hyperlink"/>
          </w:rPr>
          <w:t xml:space="preserve">sec.gov</w:t>
        </w:r>
      </w:hyperlink>
      <w:r>
        <w:t xml:space="preserve">)</w:t>
      </w:r>
    </w:p>
    <w:p>
      <w:pPr>
        <w:pStyle w:val="BodyText"/>
      </w:pPr>
      <w:r>
        <w:t xml:space="preserve">For comparison, Q2 2025 results included: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2025</w:t>
            </w:r>
          </w:p>
        </w:tc>
      </w:tr>
      <w:tr>
        <w:tc>
          <w:tcPr/>
          <w:p>
            <w:pPr>
              <w:pStyle w:val="Compact"/>
            </w:pPr>
            <w:r>
              <w:t xml:space="preserve">Revenue</w:t>
            </w:r>
          </w:p>
        </w:tc>
        <w:tc>
          <w:tcPr/>
          <w:p>
            <w:pPr>
              <w:pStyle w:val="Compact"/>
              <w:jc w:val="right"/>
            </w:pPr>
            <w:r>
              <w:t xml:space="preserve">$3.68B</w:t>
            </w:r>
          </w:p>
        </w:tc>
      </w:tr>
      <w:tr>
        <w:tc>
          <w:tcPr/>
          <w:p>
            <w:pPr>
              <w:pStyle w:val="Compact"/>
            </w:pPr>
            <w:r>
              <w:t xml:space="preserve">Non-GAAP EPS</w:t>
            </w:r>
          </w:p>
        </w:tc>
        <w:tc>
          <w:tcPr/>
          <w:p>
            <w:pPr>
              <w:pStyle w:val="Compact"/>
              <w:jc w:val="right"/>
            </w:pPr>
            <w:r>
              <w:t xml:space="preserve">$12.89</w:t>
            </w:r>
          </w:p>
        </w:tc>
      </w:tr>
      <w:tr>
        <w:tc>
          <w:tcPr/>
          <w:p>
            <w:pPr>
              <w:pStyle w:val="Compact"/>
            </w:pPr>
            <w:r>
              <w:t xml:space="preserve">U.S. EYLEA HD sales</w:t>
            </w:r>
          </w:p>
        </w:tc>
        <w:tc>
          <w:tcPr/>
          <w:p>
            <w:pPr>
              <w:pStyle w:val="Compact"/>
              <w:jc w:val="right"/>
            </w:pPr>
            <w:r>
              <w:t xml:space="preserve">$393M</w:t>
            </w:r>
          </w:p>
        </w:tc>
      </w:tr>
      <w:tr>
        <w:tc>
          <w:tcPr/>
          <w:p>
            <w:pPr>
              <w:pStyle w:val="Compact"/>
            </w:pPr>
            <w:r>
              <w:t xml:space="preserve">U.S. legacy EYLEA sales</w:t>
            </w:r>
          </w:p>
        </w:tc>
        <w:tc>
          <w:tcPr/>
          <w:p>
            <w:pPr>
              <w:pStyle w:val="Compact"/>
              <w:jc w:val="right"/>
            </w:pPr>
            <w:r>
              <w:t xml:space="preserve">$754M</w:t>
            </w:r>
          </w:p>
        </w:tc>
      </w:tr>
      <w:tr>
        <w:tc>
          <w:tcPr/>
          <w:p>
            <w:pPr>
              <w:pStyle w:val="Compact"/>
            </w:pPr>
            <w:r>
              <w:t xml:space="preserve">Total U.S. EYLEA franchise</w:t>
            </w:r>
          </w:p>
        </w:tc>
        <w:tc>
          <w:tcPr/>
          <w:p>
            <w:pPr>
              <w:pStyle w:val="Compact"/>
              <w:jc w:val="right"/>
            </w:pPr>
            <w:r>
              <w:t xml:space="preserve">$1.15B</w:t>
            </w:r>
          </w:p>
        </w:tc>
      </w:tr>
      <w:tr>
        <w:tc>
          <w:tcPr/>
          <w:p>
            <w:pPr>
              <w:pStyle w:val="Compact"/>
            </w:pPr>
            <w:r>
              <w:t xml:space="preserve">Global Dupixent sales</w:t>
            </w:r>
          </w:p>
        </w:tc>
        <w:tc>
          <w:tcPr/>
          <w:p>
            <w:pPr>
              <w:pStyle w:val="Compact"/>
              <w:jc w:val="right"/>
            </w:pPr>
            <w:r>
              <w:t xml:space="preserve">$4.34B</w:t>
            </w:r>
          </w:p>
        </w:tc>
      </w:tr>
      <w:tr>
        <w:tc>
          <w:tcPr/>
          <w:p>
            <w:pPr>
              <w:pStyle w:val="Compact"/>
            </w:pPr>
            <w:r>
              <w:t xml:space="preserve">Global Libtayo sales</w:t>
            </w:r>
          </w:p>
        </w:tc>
        <w:tc>
          <w:tcPr/>
          <w:p>
            <w:pPr>
              <w:pStyle w:val="Compact"/>
              <w:jc w:val="right"/>
            </w:pPr>
            <w:r>
              <w:t xml:space="preserve">$377M</w:t>
            </w:r>
          </w:p>
        </w:tc>
      </w:tr>
    </w:tbl>
    <w:p>
      <w:pPr>
        <w:pStyle w:val="BodyText"/>
      </w:pPr>
      <w:r>
        <w:t xml:space="preserve">The year-over-year EPS comparison is unusually difficult because Q2 2025 benefited from investment gains, a low tax rate and a much smaller IPR&amp;D charge. The underlying product and collaboration trends should matter more than the raw EPS growth rate. (</w:t>
      </w:r>
      <w:hyperlink r:id="rId13">
        <w:r>
          <w:rPr>
            <w:rStyle w:val="Hyperlink"/>
          </w:rPr>
          <w:t xml:space="preserve">newsroom.regeneron.com</w:t>
        </w:r>
      </w:hyperlink>
      <w:r>
        <w:t xml:space="preserve">)</w:t>
      </w:r>
    </w:p>
    <w:p>
      <w:r>
        <w:pict>
          <v:rect style="width:0;height:1.5pt" o:hralign="center" o:hrstd="t" o:hr="t"/>
        </w:pict>
      </w:r>
    </w:p>
    <w:bookmarkEnd w:id="14"/>
    <w:bookmarkStart w:id="19" w:name="X1754f1b8018dd387276730d9439254b48096bed"/>
    <w:p>
      <w:pPr>
        <w:pStyle w:val="Heading2"/>
      </w:pPr>
      <w:r>
        <w:t xml:space="preserve">1. EYLEA HD is the critical swing factor</w:t>
      </w:r>
    </w:p>
    <w:p>
      <w:pPr>
        <w:pStyle w:val="FirstParagraph"/>
      </w:pPr>
      <w:r>
        <w:t xml:space="preserve">The U.S. ophthalmology franchise remains the most important near-term issue for REGN.</w:t>
      </w:r>
    </w:p>
    <w:p>
      <w:pPr>
        <w:pStyle w:val="BodyText"/>
      </w:pPr>
      <w:r>
        <w:t xml:space="preserve">In Q1:</w:t>
      </w:r>
    </w:p>
    <w:p>
      <w:pPr>
        <w:pStyle w:val="Compact"/>
        <w:numPr>
          <w:ilvl w:val="0"/>
          <w:numId w:val="1002"/>
        </w:numPr>
      </w:pPr>
      <w:r>
        <w:t xml:space="preserve">EYLEA HD U.S. sales were</w:t>
      </w:r>
      <w:r>
        <w:t xml:space="preserve"> </w:t>
      </w:r>
      <w:r>
        <w:rPr>
          <w:b/>
          <w:bCs/>
        </w:rPr>
        <w:t xml:space="preserve">$468 million</w:t>
      </w:r>
      <w:r>
        <w:t xml:space="preserve">, up 52% year over year.</w:t>
      </w:r>
    </w:p>
    <w:p>
      <w:pPr>
        <w:pStyle w:val="Compact"/>
        <w:numPr>
          <w:ilvl w:val="0"/>
          <w:numId w:val="1002"/>
        </w:numPr>
      </w:pPr>
      <w:r>
        <w:t xml:space="preserve">Legacy EYLEA sales were</w:t>
      </w:r>
      <w:r>
        <w:t xml:space="preserve"> </w:t>
      </w:r>
      <w:r>
        <w:rPr>
          <w:b/>
          <w:bCs/>
        </w:rPr>
        <w:t xml:space="preserve">$473 million</w:t>
      </w:r>
      <w:r>
        <w:t xml:space="preserve">, down 36%.</w:t>
      </w:r>
    </w:p>
    <w:p>
      <w:pPr>
        <w:pStyle w:val="Compact"/>
        <w:numPr>
          <w:ilvl w:val="0"/>
          <w:numId w:val="1002"/>
        </w:numPr>
      </w:pPr>
      <w:r>
        <w:t xml:space="preserve">Combined U.S. franchise sales declined 10% to</w:t>
      </w:r>
      <w:r>
        <w:t xml:space="preserve"> </w:t>
      </w:r>
      <w:r>
        <w:rPr>
          <w:b/>
          <w:bCs/>
        </w:rPr>
        <w:t xml:space="preserve">$941 million</w:t>
      </w:r>
      <w:r>
        <w:t xml:space="preserve">.</w:t>
      </w:r>
    </w:p>
    <w:p>
      <w:pPr>
        <w:pStyle w:val="Compact"/>
        <w:numPr>
          <w:ilvl w:val="0"/>
          <w:numId w:val="1002"/>
        </w:numPr>
      </w:pPr>
      <w:r>
        <w:t xml:space="preserve">Physician demand for EYLEA HD increased 10% sequentially, despite reported sales declining sequentially because wholesalers reduced inventory. (</w:t>
      </w:r>
      <w:hyperlink r:id="rId15">
        <w:r>
          <w:rPr>
            <w:rStyle w:val="Hyperlink"/>
          </w:rPr>
          <w:t xml:space="preserve">investor.regeneron.com</w:t>
        </w:r>
      </w:hyperlink>
      <w:r>
        <w:t xml:space="preserve">)</w:t>
      </w:r>
    </w:p>
    <w:p>
      <w:pPr>
        <w:pStyle w:val="FirstParagraph"/>
      </w:pPr>
      <w:r>
        <w:t xml:space="preserve">Management provided unusually specific Q2 operating commentary:</w:t>
      </w:r>
    </w:p>
    <w:p>
      <w:pPr>
        <w:pStyle w:val="Compact"/>
        <w:numPr>
          <w:ilvl w:val="0"/>
          <w:numId w:val="1003"/>
        </w:numPr>
      </w:pPr>
      <w:r>
        <w:t xml:space="preserve">EYLEA HD sequential unit-demand growth was expected to remain around</w:t>
      </w:r>
      <w:r>
        <w:t xml:space="preserve"> </w:t>
      </w:r>
      <w:r>
        <w:rPr>
          <w:b/>
          <w:bCs/>
        </w:rPr>
        <w:t xml:space="preserve">10%</w:t>
      </w:r>
      <w:r>
        <w:t xml:space="preserve">.</w:t>
      </w:r>
    </w:p>
    <w:p>
      <w:pPr>
        <w:pStyle w:val="Compact"/>
        <w:numPr>
          <w:ilvl w:val="0"/>
          <w:numId w:val="1003"/>
        </w:numPr>
      </w:pPr>
      <w:r>
        <w:t xml:space="preserve">Legacy EYLEA demand was expected to decline in the</w:t>
      </w:r>
      <w:r>
        <w:t xml:space="preserve"> </w:t>
      </w:r>
      <w:r>
        <w:rPr>
          <w:b/>
          <w:bCs/>
        </w:rPr>
        <w:t xml:space="preserve">mid- to high teens sequentially</w:t>
      </w:r>
      <w:r>
        <w:t xml:space="preserve">.</w:t>
      </w:r>
    </w:p>
    <w:p>
      <w:pPr>
        <w:pStyle w:val="Compact"/>
        <w:numPr>
          <w:ilvl w:val="0"/>
          <w:numId w:val="1003"/>
        </w:numPr>
      </w:pPr>
      <w:r>
        <w:t xml:space="preserve">Continued legacy EYLEA inventory absorption was expected to reduce Q2 sales by approximately</w:t>
      </w:r>
      <w:r>
        <w:t xml:space="preserve"> </w:t>
      </w:r>
      <w:r>
        <w:rPr>
          <w:b/>
          <w:bCs/>
        </w:rPr>
        <w:t xml:space="preserve">$20 million</w:t>
      </w:r>
      <w:r>
        <w:t xml:space="preserve">.</w:t>
      </w:r>
    </w:p>
    <w:p>
      <w:pPr>
        <w:pStyle w:val="FirstParagraph"/>
      </w:pPr>
      <w:r>
        <w:t xml:space="preserve">Taken mechanically, those comments point toward EYLEA HD demand equivalent to roughly $515 million at Q1 pricing and legacy EYLEA in roughly the</w:t>
      </w:r>
      <w:r>
        <w:t xml:space="preserve"> </w:t>
      </w:r>
      <m:oMath>
        <m:r>
          <m:t>390</m:t>
        </m:r>
        <m:r>
          <m:rPr>
            <m:sty m:val="p"/>
          </m:rPr>
          <m:t>–</m:t>
        </m:r>
      </m:oMath>
      <w:r>
        <w:t xml:space="preserve">400 million area before allowing for price, channel inventory and mix. That would put the combined franchise near $900 million—well below Q2 2025's $1.15 billion.</w:t>
      </w:r>
    </w:p>
    <w:bookmarkStart w:id="16" w:name="what-would-constitute-a-good-result"/>
    <w:p>
      <w:pPr>
        <w:pStyle w:val="Heading3"/>
      </w:pPr>
      <w:r>
        <w:t xml:space="preserve">What would constitute a good result?</w:t>
      </w:r>
    </w:p>
    <w:p>
      <w:pPr>
        <w:pStyle w:val="FirstParagraph"/>
      </w:pPr>
      <w:r>
        <w:t xml:space="preserve">A constructive print would show:</w:t>
      </w:r>
    </w:p>
    <w:p>
      <w:pPr>
        <w:pStyle w:val="Compact"/>
        <w:numPr>
          <w:ilvl w:val="0"/>
          <w:numId w:val="1004"/>
        </w:numPr>
      </w:pPr>
      <w:r>
        <w:t xml:space="preserve">EYLEA HD sales or demand comfortably above Q1;</w:t>
      </w:r>
    </w:p>
    <w:p>
      <w:pPr>
        <w:pStyle w:val="Compact"/>
        <w:numPr>
          <w:ilvl w:val="0"/>
          <w:numId w:val="1004"/>
        </w:numPr>
      </w:pPr>
      <w:r>
        <w:t xml:space="preserve">Better-than-guided legacy EYLEA retention;</w:t>
      </w:r>
    </w:p>
    <w:p>
      <w:pPr>
        <w:pStyle w:val="Compact"/>
        <w:numPr>
          <w:ilvl w:val="0"/>
          <w:numId w:val="1004"/>
        </w:numPr>
      </w:pPr>
      <w:r>
        <w:t xml:space="preserve">Total franchise sales near or above $900 million;</w:t>
      </w:r>
    </w:p>
    <w:p>
      <w:pPr>
        <w:pStyle w:val="Compact"/>
        <w:numPr>
          <w:ilvl w:val="0"/>
          <w:numId w:val="1004"/>
        </w:numPr>
      </w:pPr>
      <w:r>
        <w:t xml:space="preserve">Evidence that expanded dosing flexibility—up to every 20 weeks in selected wAMD and DME patients—is accelerating conversion;</w:t>
      </w:r>
    </w:p>
    <w:p>
      <w:pPr>
        <w:pStyle w:val="Compact"/>
        <w:numPr>
          <w:ilvl w:val="0"/>
          <w:numId w:val="1004"/>
        </w:numPr>
      </w:pPr>
      <w:r>
        <w:t xml:space="preserve">Stable net pricing and no new reimbursement deterioration. (</w:t>
      </w:r>
      <w:hyperlink r:id="rId15">
        <w:r>
          <w:rPr>
            <w:rStyle w:val="Hyperlink"/>
          </w:rPr>
          <w:t xml:space="preserve">investor.regeneron.com</w:t>
        </w:r>
      </w:hyperlink>
      <w:r>
        <w:t xml:space="preserve">)</w:t>
      </w:r>
    </w:p>
    <w:p>
      <w:pPr>
        <w:pStyle w:val="FirstParagraph"/>
      </w:pPr>
      <w:r>
        <w:t xml:space="preserve">A weak result would be one where HD growth merely cannibalizes legacy EYLEA without slowing the decline in total retinal revenue. Additional aflibercept biosimilar launches expected in the second half make stabilization more urgent.</w:t>
      </w:r>
    </w:p>
    <w:bookmarkEnd w:id="16"/>
    <w:bookmarkStart w:id="18" w:name="prefilled-syringe-delay"/>
    <w:p>
      <w:pPr>
        <w:pStyle w:val="Heading3"/>
      </w:pPr>
      <w:r>
        <w:t xml:space="preserve">Prefilled syringe delay</w:t>
      </w:r>
    </w:p>
    <w:p>
      <w:pPr>
        <w:pStyle w:val="FirstParagraph"/>
      </w:pPr>
      <w:r>
        <w:t xml:space="preserve">The EYLEA HD prefilled syringe is strategically important because retina specialists generally favor the convenience and workflow advantages of prefilled products. Regeneron had expected a decision on one or both pending manufacturing applications by the end of Q2. As of July 29, the company has not publicly announced an approval. Management should therefore be pressed for:</w:t>
      </w:r>
    </w:p>
    <w:p>
      <w:pPr>
        <w:pStyle w:val="Compact"/>
        <w:numPr>
          <w:ilvl w:val="0"/>
          <w:numId w:val="1005"/>
        </w:numPr>
      </w:pPr>
      <w:r>
        <w:t xml:space="preserve">The current FDA status of both manufacturing applications;</w:t>
      </w:r>
    </w:p>
    <w:p>
      <w:pPr>
        <w:pStyle w:val="Compact"/>
        <w:numPr>
          <w:ilvl w:val="0"/>
          <w:numId w:val="1005"/>
        </w:numPr>
      </w:pPr>
      <w:r>
        <w:t xml:space="preserve">Whether new inspections, information requests or remediation work are outstanding;</w:t>
      </w:r>
    </w:p>
    <w:p>
      <w:pPr>
        <w:pStyle w:val="Compact"/>
        <w:numPr>
          <w:ilvl w:val="0"/>
          <w:numId w:val="1005"/>
        </w:numPr>
      </w:pPr>
      <w:r>
        <w:t xml:space="preserve">A revised decision and launch timeline;</w:t>
      </w:r>
    </w:p>
    <w:p>
      <w:pPr>
        <w:pStyle w:val="Compact"/>
        <w:numPr>
          <w:ilvl w:val="0"/>
          <w:numId w:val="1005"/>
        </w:numPr>
      </w:pPr>
      <w:r>
        <w:t xml:space="preserve">Whether the delay is affecting physician conversion or market share.</w:t>
      </w:r>
    </w:p>
    <w:p>
      <w:pPr>
        <w:pStyle w:val="FirstParagraph"/>
      </w:pPr>
      <w:r>
        <w:t xml:space="preserve">At a June 8 investor conference, Regeneron said there was no change to its expectation for action by the end of Q2. Missing that timeline without a clear explanation would be a negative qualitative development. (</w:t>
      </w:r>
      <w:hyperlink r:id="rId17">
        <w:r>
          <w:rPr>
            <w:rStyle w:val="Hyperlink"/>
          </w:rPr>
          <w:t xml:space="preserve">newsroom.regeneron.com</w:t>
        </w:r>
      </w:hyperlink>
      <w:r>
        <w:t xml:space="preserve">)</w:t>
      </w:r>
    </w:p>
    <w:p>
      <w:r>
        <w:pict>
          <v:rect style="width:0;height:1.5pt" o:hralign="center" o:hrstd="t" o:hr="t"/>
        </w:pict>
      </w:r>
    </w:p>
    <w:bookmarkEnd w:id="18"/>
    <w:bookmarkEnd w:id="19"/>
    <w:bookmarkStart w:id="21" w:name="X80ddd75b72cf575f0d0be05e5babf07f793f556"/>
    <w:p>
      <w:pPr>
        <w:pStyle w:val="Heading2"/>
      </w:pPr>
      <w:r>
        <w:t xml:space="preserve">2. Dupixent remains the earnings engine</w:t>
      </w:r>
    </w:p>
    <w:p>
      <w:pPr>
        <w:pStyle w:val="FirstParagraph"/>
      </w:pPr>
      <w:r>
        <w:t xml:space="preserve">Dupixent is the strongest part of the story. Q1 global sales reached</w:t>
      </w:r>
      <w:r>
        <w:t xml:space="preserve"> </w:t>
      </w:r>
      <w:r>
        <w:rPr>
          <w:b/>
          <w:bCs/>
        </w:rPr>
        <w:t xml:space="preserve">$4.88 billion</w:t>
      </w:r>
      <w:r>
        <w:t xml:space="preserve">, up 33%, driven by broad demand across established indications and newer launches including COPD, chronic spontaneous urticaria, bullous pemphigoid and allergic fungal rhinosinusitis. (</w:t>
      </w:r>
      <w:hyperlink r:id="rId15">
        <w:r>
          <w:rPr>
            <w:rStyle w:val="Hyperlink"/>
          </w:rPr>
          <w:t xml:space="preserve">investor.regeneron.com</w:t>
        </w:r>
      </w:hyperlink>
      <w:r>
        <w:t xml:space="preserve">)</w:t>
      </w:r>
    </w:p>
    <w:p>
      <w:pPr>
        <w:pStyle w:val="BodyText"/>
      </w:pPr>
      <w:r>
        <w:t xml:space="preserve">For Q2, investors should focus on:</w:t>
      </w:r>
    </w:p>
    <w:p>
      <w:pPr>
        <w:pStyle w:val="Compact"/>
        <w:numPr>
          <w:ilvl w:val="0"/>
          <w:numId w:val="1006"/>
        </w:numPr>
      </w:pPr>
      <w:r>
        <w:t xml:space="preserve">Growth versus the Q2 2025 base of $4.34 billion;</w:t>
      </w:r>
    </w:p>
    <w:p>
      <w:pPr>
        <w:pStyle w:val="Compact"/>
        <w:numPr>
          <w:ilvl w:val="0"/>
          <w:numId w:val="1006"/>
        </w:numPr>
      </w:pPr>
      <w:r>
        <w:t xml:space="preserve">U.S. volume growth after Q1 benefited from an easier pricing comparison;</w:t>
      </w:r>
    </w:p>
    <w:p>
      <w:pPr>
        <w:pStyle w:val="Compact"/>
        <w:numPr>
          <w:ilvl w:val="0"/>
          <w:numId w:val="1006"/>
        </w:numPr>
      </w:pPr>
      <w:r>
        <w:t xml:space="preserve">COPD uptake and persistence;</w:t>
      </w:r>
    </w:p>
    <w:p>
      <w:pPr>
        <w:pStyle w:val="Compact"/>
        <w:numPr>
          <w:ilvl w:val="0"/>
          <w:numId w:val="1006"/>
        </w:numPr>
      </w:pPr>
      <w:r>
        <w:t xml:space="preserve">Contributions from recent indication and pediatric expansions;</w:t>
      </w:r>
    </w:p>
    <w:p>
      <w:pPr>
        <w:pStyle w:val="Compact"/>
        <w:numPr>
          <w:ilvl w:val="0"/>
          <w:numId w:val="1006"/>
        </w:numPr>
      </w:pPr>
      <w:r>
        <w:t xml:space="preserve">Collaboration profitability rather than sales alone.</w:t>
      </w:r>
    </w:p>
    <w:p>
      <w:pPr>
        <w:pStyle w:val="FirstParagraph"/>
      </w:pPr>
      <w:r>
        <w:t xml:space="preserve">A result around or above</w:t>
      </w:r>
      <w:r>
        <w:t xml:space="preserve"> </w:t>
      </w:r>
      <w:r>
        <w:rPr>
          <w:b/>
          <w:bCs/>
        </w:rPr>
        <w:t xml:space="preserve">$5.3 billion</w:t>
      </w:r>
      <w:r>
        <w:t xml:space="preserve"> </w:t>
      </w:r>
      <w:r>
        <w:t xml:space="preserve">would represent growth of roughly 22% from the prior year and keep Dupixent on a strong trajectory above a $20 billion annualized run rate.</w:t>
      </w:r>
    </w:p>
    <w:bookmarkStart w:id="20" w:name="sanofi-collaboration-economics"/>
    <w:p>
      <w:pPr>
        <w:pStyle w:val="Heading3"/>
      </w:pPr>
      <w:r>
        <w:t xml:space="preserve">Sanofi collaboration economics</w:t>
      </w:r>
    </w:p>
    <w:p>
      <w:pPr>
        <w:pStyle w:val="FirstParagraph"/>
      </w:pPr>
      <w:r>
        <w:t xml:space="preserve">Regeneron recorded</w:t>
      </w:r>
      <w:r>
        <w:t xml:space="preserve"> </w:t>
      </w:r>
      <w:r>
        <w:rPr>
          <w:b/>
          <w:bCs/>
        </w:rPr>
        <w:t xml:space="preserve">$1.45 billion</w:t>
      </w:r>
      <w:r>
        <w:t xml:space="preserve"> </w:t>
      </w:r>
      <w:r>
        <w:t xml:space="preserve">of Sanofi collaboration profit share in Q1. Management said the historical Sanofi development balance should be fully repaid by the end of Q2, allowing Regeneron to begin recording its full profit share in Q3. (</w:t>
      </w:r>
      <w:hyperlink r:id="rId15">
        <w:r>
          <w:rPr>
            <w:rStyle w:val="Hyperlink"/>
          </w:rPr>
          <w:t xml:space="preserve">investor.regeneron.com</w:t>
        </w:r>
      </w:hyperlink>
      <w:r>
        <w:t xml:space="preserve">)</w:t>
      </w:r>
    </w:p>
    <w:p>
      <w:pPr>
        <w:pStyle w:val="BodyText"/>
      </w:pPr>
      <w:r>
        <w:t xml:space="preserve">The earnings call should provide a clearer bridge for:</w:t>
      </w:r>
    </w:p>
    <w:p>
      <w:pPr>
        <w:pStyle w:val="Compact"/>
        <w:numPr>
          <w:ilvl w:val="0"/>
          <w:numId w:val="1007"/>
        </w:numPr>
      </w:pPr>
      <w:r>
        <w:t xml:space="preserve">The expected Q3 collaboration-revenue step-up;</w:t>
      </w:r>
    </w:p>
    <w:p>
      <w:pPr>
        <w:pStyle w:val="Compact"/>
        <w:numPr>
          <w:ilvl w:val="0"/>
          <w:numId w:val="1007"/>
        </w:numPr>
      </w:pPr>
      <w:r>
        <w:t xml:space="preserve">The sustainable percentage of Dupixent sales flowing to Regeneron;</w:t>
      </w:r>
    </w:p>
    <w:p>
      <w:pPr>
        <w:pStyle w:val="Compact"/>
        <w:numPr>
          <w:ilvl w:val="0"/>
          <w:numId w:val="1007"/>
        </w:numPr>
      </w:pPr>
      <w:r>
        <w:t xml:space="preserve">Collaboration margins as the product scales;</w:t>
      </w:r>
    </w:p>
    <w:p>
      <w:pPr>
        <w:pStyle w:val="Compact"/>
        <w:numPr>
          <w:ilvl w:val="0"/>
          <w:numId w:val="1007"/>
        </w:numPr>
      </w:pPr>
      <w:r>
        <w:t xml:space="preserve">Incremental spending on next-generation IL-4/IL-13 programs.</w:t>
      </w:r>
    </w:p>
    <w:p>
      <w:pPr>
        <w:pStyle w:val="FirstParagraph"/>
      </w:pPr>
      <w:r>
        <w:t xml:space="preserve">This accounting transition may be more important for forward estimates than the Q2 Dupixent sales number itself.</w:t>
      </w:r>
    </w:p>
    <w:p>
      <w:r>
        <w:pict>
          <v:rect style="width:0;height:1.5pt" o:hralign="center" o:hrstd="t" o:hr="t"/>
        </w:pict>
      </w:r>
    </w:p>
    <w:bookmarkEnd w:id="20"/>
    <w:bookmarkEnd w:id="21"/>
    <w:bookmarkStart w:id="22" w:name="X4c02a7d46575a446273bdc5f2bac2e50fe95e0a"/>
    <w:p>
      <w:pPr>
        <w:pStyle w:val="Heading2"/>
      </w:pPr>
      <w:r>
        <w:t xml:space="preserve">3. Can Libtayo sustain its acceleration?</w:t>
      </w:r>
    </w:p>
    <w:p>
      <w:pPr>
        <w:pStyle w:val="FirstParagraph"/>
      </w:pPr>
      <w:r>
        <w:t xml:space="preserve">Libtayo was another Q1 highlight, with global sales of</w:t>
      </w:r>
      <w:r>
        <w:t xml:space="preserve"> </w:t>
      </w:r>
      <w:r>
        <w:rPr>
          <w:b/>
          <w:bCs/>
        </w:rPr>
        <w:t xml:space="preserve">$438 million</w:t>
      </w:r>
      <w:r>
        <w:t xml:space="preserve">, up 54%. Growth came from advanced cutaneous squamous cell carcinoma, non-small-cell lung cancer and the newer adjuvant CSCC indication. However, management noted that the year-over-year comparison benefited partly from inventory timing. (</w:t>
      </w:r>
      <w:hyperlink r:id="rId15">
        <w:r>
          <w:rPr>
            <w:rStyle w:val="Hyperlink"/>
          </w:rPr>
          <w:t xml:space="preserve">investor.regeneron.com</w:t>
        </w:r>
      </w:hyperlink>
      <w:r>
        <w:t xml:space="preserve">)</w:t>
      </w:r>
    </w:p>
    <w:p>
      <w:pPr>
        <w:pStyle w:val="BodyText"/>
      </w:pPr>
      <w:r>
        <w:t xml:space="preserve">The key Q2 test is whether Libtayo can maintain a quarterly run rate above $400 million without channel assistance. Investors should look for:</w:t>
      </w:r>
    </w:p>
    <w:p>
      <w:pPr>
        <w:pStyle w:val="Compact"/>
        <w:numPr>
          <w:ilvl w:val="0"/>
          <w:numId w:val="1008"/>
        </w:numPr>
      </w:pPr>
      <w:r>
        <w:t xml:space="preserve">Adjuvant CSCC patient starts;</w:t>
      </w:r>
    </w:p>
    <w:p>
      <w:pPr>
        <w:pStyle w:val="Compact"/>
        <w:numPr>
          <w:ilvl w:val="0"/>
          <w:numId w:val="1008"/>
        </w:numPr>
      </w:pPr>
      <w:r>
        <w:t xml:space="preserve">Continued U.S. lung-cancer share gains;</w:t>
      </w:r>
    </w:p>
    <w:p>
      <w:pPr>
        <w:pStyle w:val="Compact"/>
        <w:numPr>
          <w:ilvl w:val="0"/>
          <w:numId w:val="1008"/>
        </w:numPr>
      </w:pPr>
      <w:r>
        <w:t xml:space="preserve">International growth;</w:t>
      </w:r>
    </w:p>
    <w:p>
      <w:pPr>
        <w:pStyle w:val="Compact"/>
        <w:numPr>
          <w:ilvl w:val="0"/>
          <w:numId w:val="1008"/>
        </w:numPr>
      </w:pPr>
      <w:r>
        <w:t xml:space="preserve">A clean inventory comparison;</w:t>
      </w:r>
    </w:p>
    <w:p>
      <w:pPr>
        <w:pStyle w:val="Compact"/>
        <w:numPr>
          <w:ilvl w:val="0"/>
          <w:numId w:val="1008"/>
        </w:numPr>
      </w:pPr>
      <w:r>
        <w:t xml:space="preserve">Any change in commercial expectations after the fianlimab failure.</w:t>
      </w:r>
    </w:p>
    <w:p>
      <w:pPr>
        <w:pStyle w:val="FirstParagraph"/>
      </w:pPr>
      <w:r>
        <w:t xml:space="preserve">Libtayo is increasingly important because it is wholly commercialized by Regeneron and could provide meaningful operating leverage if its growth persists.</w:t>
      </w:r>
    </w:p>
    <w:p>
      <w:r>
        <w:pict>
          <v:rect style="width:0;height:1.5pt" o:hralign="center" o:hrstd="t" o:hr="t"/>
        </w:pict>
      </w:r>
    </w:p>
    <w:bookmarkEnd w:id="22"/>
    <w:bookmarkStart w:id="24" w:name="X40e336b9d3f58a2adc24d8e04822df777154605"/>
    <w:p>
      <w:pPr>
        <w:pStyle w:val="Heading2"/>
      </w:pPr>
      <w:r>
        <w:t xml:space="preserve">4. Margins, spending and guidance</w:t>
      </w:r>
    </w:p>
    <w:p>
      <w:pPr>
        <w:pStyle w:val="FirstParagraph"/>
      </w:pPr>
      <w:r>
        <w:t xml:space="preserve">Regeneron began 2026 with heavy pipeline investment. Q1 non-GAAP R&amp;D expense was approximately</w:t>
      </w:r>
      <w:r>
        <w:t xml:space="preserve"> </w:t>
      </w:r>
      <w:r>
        <w:rPr>
          <w:b/>
          <w:bCs/>
        </w:rPr>
        <w:t xml:space="preserve">$1.41 billion</w:t>
      </w:r>
      <w:r>
        <w:t xml:space="preserve">, up 19%, while non-GAAP SG&amp;A was $560 million, up 4%. The company maintained full-year non-GAAP guidance of:</w:t>
      </w:r>
    </w:p>
    <w:p>
      <w:pPr>
        <w:pStyle w:val="Compact"/>
        <w:numPr>
          <w:ilvl w:val="0"/>
          <w:numId w:val="1009"/>
        </w:numPr>
      </w:pPr>
      <w:r>
        <w:rPr>
          <w:b/>
          <w:bCs/>
        </w:rPr>
        <w:t xml:space="preserve">R&amp;D:</w:t>
      </w:r>
      <w:r>
        <w:t xml:space="preserve"> </w:t>
      </w:r>
      <m:oMath>
        <m:r>
          <m:t>5.9</m:t>
        </m:r>
        <m:r>
          <m:rPr>
            <m:sty m:val="p"/>
          </m:rPr>
          <m:t>–</m:t>
        </m:r>
      </m:oMath>
      <w:r>
        <w:t xml:space="preserve">6.1 billion</w:t>
      </w:r>
    </w:p>
    <w:p>
      <w:pPr>
        <w:pStyle w:val="Compact"/>
        <w:numPr>
          <w:ilvl w:val="0"/>
          <w:numId w:val="1009"/>
        </w:numPr>
      </w:pPr>
      <w:r>
        <w:rPr>
          <w:b/>
          <w:bCs/>
        </w:rPr>
        <w:t xml:space="preserve">SG&amp;A:</w:t>
      </w:r>
      <w:r>
        <w:t xml:space="preserve"> </w:t>
      </w:r>
      <m:oMath>
        <m:r>
          <m:t>2.5</m:t>
        </m:r>
        <m:r>
          <m:rPr>
            <m:sty m:val="p"/>
          </m:rPr>
          <m:t>–</m:t>
        </m:r>
      </m:oMath>
      <w:r>
        <w:t xml:space="preserve">2.65 billion</w:t>
      </w:r>
    </w:p>
    <w:p>
      <w:pPr>
        <w:pStyle w:val="Compact"/>
        <w:numPr>
          <w:ilvl w:val="0"/>
          <w:numId w:val="1009"/>
        </w:numPr>
      </w:pPr>
      <w:r>
        <w:rPr>
          <w:b/>
          <w:bCs/>
        </w:rPr>
        <w:t xml:space="preserve">Gross margin on net product sales:</w:t>
      </w:r>
      <w:r>
        <w:t xml:space="preserve"> </w:t>
      </w:r>
      <w:r>
        <w:t xml:space="preserve">83%–84%</w:t>
      </w:r>
    </w:p>
    <w:p>
      <w:pPr>
        <w:pStyle w:val="Compact"/>
        <w:numPr>
          <w:ilvl w:val="0"/>
          <w:numId w:val="1009"/>
        </w:numPr>
      </w:pPr>
      <w:r>
        <w:rPr>
          <w:b/>
          <w:bCs/>
        </w:rPr>
        <w:t xml:space="preserve">Tax rate:</w:t>
      </w:r>
      <w:r>
        <w:t xml:space="preserve"> </w:t>
      </w:r>
      <w:r>
        <w:t xml:space="preserve">13%–15%</w:t>
      </w:r>
    </w:p>
    <w:p>
      <w:pPr>
        <w:pStyle w:val="FirstParagraph"/>
      </w:pPr>
      <w:r>
        <w:t xml:space="preserve">GAAP gross-margin guidance was reduced to 77%–78% following a temporary interruption at the Limerick manufacturing facility. Regeneron expected full production to resume by the end of Q2 and said product availability was not affected. (</w:t>
      </w:r>
      <w:hyperlink r:id="rId15">
        <w:r>
          <w:rPr>
            <w:rStyle w:val="Hyperlink"/>
          </w:rPr>
          <w:t xml:space="preserve">investor.regeneron.com</w:t>
        </w:r>
      </w:hyperlink>
      <w:r>
        <w:t xml:space="preserve">)</w:t>
      </w:r>
    </w:p>
    <w:bookmarkStart w:id="23" w:name="items-to-watch"/>
    <w:p>
      <w:pPr>
        <w:pStyle w:val="Heading3"/>
      </w:pPr>
      <w:r>
        <w:t xml:space="preserve">Items to watch</w:t>
      </w:r>
    </w:p>
    <w:p>
      <w:pPr>
        <w:pStyle w:val="Compact"/>
        <w:numPr>
          <w:ilvl w:val="0"/>
          <w:numId w:val="1010"/>
        </w:numPr>
      </w:pPr>
      <w:r>
        <w:rPr>
          <w:b/>
          <w:bCs/>
        </w:rPr>
        <w:t xml:space="preserve">Limerick recovery:</w:t>
      </w:r>
      <w:r>
        <w:t xml:space="preserve"> </w:t>
      </w:r>
      <w:r>
        <w:t xml:space="preserve">Confirmation that full production has resumed and no additional costs are expected.</w:t>
      </w:r>
    </w:p>
    <w:p>
      <w:pPr>
        <w:pStyle w:val="Compact"/>
        <w:numPr>
          <w:ilvl w:val="0"/>
          <w:numId w:val="1010"/>
        </w:numPr>
      </w:pPr>
      <w:r>
        <w:rPr>
          <w:b/>
          <w:bCs/>
        </w:rPr>
        <w:t xml:space="preserve">IPR&amp;D charge:</w:t>
      </w:r>
      <w:r>
        <w:t xml:space="preserve"> </w:t>
      </w:r>
      <w:r>
        <w:t xml:space="preserve">The disclosed $127 million charge should be expected, not treated as a surprise.</w:t>
      </w:r>
    </w:p>
    <w:p>
      <w:pPr>
        <w:pStyle w:val="Compact"/>
        <w:numPr>
          <w:ilvl w:val="0"/>
          <w:numId w:val="1010"/>
        </w:numPr>
      </w:pPr>
      <w:r>
        <w:rPr>
          <w:b/>
          <w:bCs/>
        </w:rPr>
        <w:t xml:space="preserve">R&amp;D discipline:</w:t>
      </w:r>
      <w:r>
        <w:t xml:space="preserve"> </w:t>
      </w:r>
      <w:r>
        <w:t xml:space="preserve">Whether spending guidance changes after the fianlimab failure.</w:t>
      </w:r>
    </w:p>
    <w:p>
      <w:pPr>
        <w:pStyle w:val="Compact"/>
        <w:numPr>
          <w:ilvl w:val="0"/>
          <w:numId w:val="1010"/>
        </w:numPr>
      </w:pPr>
      <w:r>
        <w:rPr>
          <w:b/>
          <w:bCs/>
        </w:rPr>
        <w:t xml:space="preserve">Gross margin:</w:t>
      </w:r>
      <w:r>
        <w:t xml:space="preserve"> </w:t>
      </w:r>
      <w:r>
        <w:t xml:space="preserve">Whether product mix and manufacturing normalization support unchanged non-GAAP guidance.</w:t>
      </w:r>
    </w:p>
    <w:p>
      <w:pPr>
        <w:pStyle w:val="Compact"/>
        <w:numPr>
          <w:ilvl w:val="0"/>
          <w:numId w:val="1010"/>
        </w:numPr>
      </w:pPr>
      <w:r>
        <w:rPr>
          <w:b/>
          <w:bCs/>
        </w:rPr>
        <w:t xml:space="preserve">Capital returns:</w:t>
      </w:r>
      <w:r>
        <w:t xml:space="preserve"> </w:t>
      </w:r>
      <w:r>
        <w:t xml:space="preserve">Regeneron repurchased $803 million of shares in Q1 and entered the quarter with a new $3 billion authorization and substantial net cash. A lower share count can continue to support EPS. (</w:t>
      </w:r>
      <w:hyperlink r:id="rId15">
        <w:r>
          <w:rPr>
            <w:rStyle w:val="Hyperlink"/>
          </w:rPr>
          <w:t xml:space="preserve">investor.regeneron.com</w:t>
        </w:r>
      </w:hyperlink>
      <w:r>
        <w:t xml:space="preserve">)</w:t>
      </w:r>
    </w:p>
    <w:p>
      <w:pPr>
        <w:pStyle w:val="FirstParagraph"/>
      </w:pPr>
      <w:r>
        <w:t xml:space="preserve">A guidance raise is not essential, but a reduction—particularly one tied to retinal sales rather than increased pipeline investment—would be poorly received.</w:t>
      </w:r>
    </w:p>
    <w:p>
      <w:r>
        <w:pict>
          <v:rect style="width:0;height:1.5pt" o:hralign="center" o:hrstd="t" o:hr="t"/>
        </w:pict>
      </w:r>
    </w:p>
    <w:bookmarkEnd w:id="23"/>
    <w:bookmarkEnd w:id="24"/>
    <w:bookmarkStart w:id="28" w:name="X774d14cba731332a6e65bac61d7071542334b40"/>
    <w:p>
      <w:pPr>
        <w:pStyle w:val="Heading2"/>
      </w:pPr>
      <w:r>
        <w:t xml:space="preserve">5. Pipeline credibility after fianlimab</w:t>
      </w:r>
    </w:p>
    <w:p>
      <w:pPr>
        <w:pStyle w:val="FirstParagraph"/>
      </w:pPr>
      <w:r>
        <w:t xml:space="preserve">The biggest development since the Q1 report was the Phase 3 failure of fianlimab plus Libtayo in first-line metastatic melanoma.</w:t>
      </w:r>
    </w:p>
    <w:p>
      <w:pPr>
        <w:pStyle w:val="BodyText"/>
      </w:pPr>
      <w:r>
        <w:t xml:space="preserve">The high-dose combination produced median progression-free survival of</w:t>
      </w:r>
      <w:r>
        <w:t xml:space="preserve"> </w:t>
      </w:r>
      <w:r>
        <w:rPr>
          <w:b/>
          <w:bCs/>
        </w:rPr>
        <w:t xml:space="preserve">11.5 months</w:t>
      </w:r>
      <w:r>
        <w:t xml:space="preserve">, versus 6.4 months for pembrolizumab, but missed statistical significance:</w:t>
      </w:r>
    </w:p>
    <w:p>
      <w:pPr>
        <w:pStyle w:val="Compact"/>
        <w:numPr>
          <w:ilvl w:val="0"/>
          <w:numId w:val="1011"/>
        </w:numPr>
      </w:pPr>
      <w:r>
        <w:t xml:space="preserve">Hazard ratio:</w:t>
      </w:r>
      <w:r>
        <w:t xml:space="preserve"> </w:t>
      </w:r>
      <w:r>
        <w:rPr>
          <w:b/>
          <w:bCs/>
        </w:rPr>
        <w:t xml:space="preserve">0.845</w:t>
      </w:r>
    </w:p>
    <w:p>
      <w:pPr>
        <w:pStyle w:val="Compact"/>
        <w:numPr>
          <w:ilvl w:val="0"/>
          <w:numId w:val="1011"/>
        </w:numPr>
      </w:pPr>
      <w:r>
        <w:t xml:space="preserve">95% confidence interval:</w:t>
      </w:r>
      <w:r>
        <w:t xml:space="preserve"> </w:t>
      </w:r>
      <w:r>
        <w:rPr>
          <w:b/>
          <w:bCs/>
        </w:rPr>
        <w:t xml:space="preserve">0.709–1.008</w:t>
      </w:r>
    </w:p>
    <w:p>
      <w:pPr>
        <w:pStyle w:val="Compact"/>
        <w:numPr>
          <w:ilvl w:val="0"/>
          <w:numId w:val="1011"/>
        </w:numPr>
      </w:pPr>
      <w:r>
        <w:t xml:space="preserve">p-value:</w:t>
      </w:r>
      <w:r>
        <w:t xml:space="preserve"> </w:t>
      </w:r>
      <w:r>
        <w:rPr>
          <w:b/>
          <w:bCs/>
        </w:rPr>
        <w:t xml:space="preserve">0.0627</w:t>
      </w:r>
    </w:p>
    <w:p>
      <w:pPr>
        <w:pStyle w:val="FirstParagraph"/>
      </w:pPr>
      <w:r>
        <w:t xml:space="preserve">The low-dose arm also failed. No new safety signal was identified. Regeneron is continuing a Phase 3 head-to-head study against Opdualag, while the adjuvant melanoma study remains underway. (</w:t>
      </w:r>
      <w:hyperlink r:id="rId25">
        <w:r>
          <w:rPr>
            <w:rStyle w:val="Hyperlink"/>
          </w:rPr>
          <w:t xml:space="preserve">investor.regeneron.com</w:t>
        </w:r>
      </w:hyperlink>
      <w:r>
        <w:t xml:space="preserve">)</w:t>
      </w:r>
    </w:p>
    <w:p>
      <w:pPr>
        <w:pStyle w:val="BodyText"/>
      </w:pPr>
      <w:r>
        <w:t xml:space="preserve">The results were numerically encouraging but insufficient for the primary endpoint. Management now needs to explain:</w:t>
      </w:r>
    </w:p>
    <w:p>
      <w:pPr>
        <w:pStyle w:val="Compact"/>
        <w:numPr>
          <w:ilvl w:val="0"/>
          <w:numId w:val="1012"/>
        </w:numPr>
      </w:pPr>
      <w:r>
        <w:t xml:space="preserve">Whether there is any viable regulatory path from the failed Keytruda-controlled study;</w:t>
      </w:r>
    </w:p>
    <w:p>
      <w:pPr>
        <w:pStyle w:val="Compact"/>
        <w:numPr>
          <w:ilvl w:val="0"/>
          <w:numId w:val="1012"/>
        </w:numPr>
      </w:pPr>
      <w:r>
        <w:t xml:space="preserve">Whether overall-survival follow-up could alter the interpretation;</w:t>
      </w:r>
    </w:p>
    <w:p>
      <w:pPr>
        <w:pStyle w:val="Compact"/>
        <w:numPr>
          <w:ilvl w:val="0"/>
          <w:numId w:val="1012"/>
        </w:numPr>
      </w:pPr>
      <w:r>
        <w:t xml:space="preserve">The probability of success and rationale for continuing the Opdualag study;</w:t>
      </w:r>
    </w:p>
    <w:p>
      <w:pPr>
        <w:pStyle w:val="Compact"/>
        <w:numPr>
          <w:ilvl w:val="0"/>
          <w:numId w:val="1012"/>
        </w:numPr>
      </w:pPr>
      <w:r>
        <w:t xml:space="preserve">Whether the adjuvant program has been modified;</w:t>
      </w:r>
    </w:p>
    <w:p>
      <w:pPr>
        <w:pStyle w:val="Compact"/>
        <w:numPr>
          <w:ilvl w:val="0"/>
          <w:numId w:val="1012"/>
        </w:numPr>
      </w:pPr>
      <w:r>
        <w:t xml:space="preserve">The remaining development spending attached to fianlimab;</w:t>
      </w:r>
    </w:p>
    <w:p>
      <w:pPr>
        <w:pStyle w:val="Compact"/>
        <w:numPr>
          <w:ilvl w:val="0"/>
          <w:numId w:val="1012"/>
        </w:numPr>
      </w:pPr>
      <w:r>
        <w:t xml:space="preserve">What was learned from the discrepancy between early-stage and Phase 3 results.</w:t>
      </w:r>
    </w:p>
    <w:p>
      <w:pPr>
        <w:pStyle w:val="FirstParagraph"/>
      </w:pPr>
      <w:r>
        <w:t xml:space="preserve">The issue is broader than one asset. Investors are questioning whether Regeneron's high R&amp;D spending is generating sufficiently predictable late-stage returns.</w:t>
      </w:r>
    </w:p>
    <w:bookmarkStart w:id="27" w:name="Xed5a2676f921ca36350b48b4761bca7d6b75a56"/>
    <w:p>
      <w:pPr>
        <w:pStyle w:val="Heading3"/>
      </w:pPr>
      <w:r>
        <w:t xml:space="preserve">The next opportunities that can rebuild confidence</w:t>
      </w:r>
    </w:p>
    <w:p>
      <w:pPr>
        <w:pStyle w:val="FirstParagraph"/>
      </w:pPr>
      <w:r>
        <w:t xml:space="preserve">Near-term pipeline focus should move toward:</w:t>
      </w:r>
    </w:p>
    <w:p>
      <w:pPr>
        <w:pStyle w:val="Compact"/>
        <w:numPr>
          <w:ilvl w:val="0"/>
          <w:numId w:val="1013"/>
        </w:numPr>
      </w:pPr>
      <w:r>
        <w:rPr>
          <w:b/>
          <w:bCs/>
        </w:rPr>
        <w:t xml:space="preserve">Garetosmab in fibrodysplasia ossificans progressiva:</w:t>
      </w:r>
      <w:r>
        <w:t xml:space="preserve"> </w:t>
      </w:r>
      <w:r>
        <w:t xml:space="preserve">FDA decision expected in August 2026.</w:t>
      </w:r>
    </w:p>
    <w:p>
      <w:pPr>
        <w:pStyle w:val="Compact"/>
        <w:numPr>
          <w:ilvl w:val="0"/>
          <w:numId w:val="1013"/>
        </w:numPr>
      </w:pPr>
      <w:r>
        <w:rPr>
          <w:b/>
          <w:bCs/>
        </w:rPr>
        <w:t xml:space="preserve">Cemdisiran in generalized myasthenia gravis:</w:t>
      </w:r>
      <w:r>
        <w:t xml:space="preserve"> </w:t>
      </w:r>
      <w:r>
        <w:t xml:space="preserve">FDA and EMA submissions were accepted in June, with an FDA decision expected in Q4.</w:t>
      </w:r>
    </w:p>
    <w:p>
      <w:pPr>
        <w:pStyle w:val="Compact"/>
        <w:numPr>
          <w:ilvl w:val="0"/>
          <w:numId w:val="1013"/>
        </w:numPr>
      </w:pPr>
      <w:r>
        <w:rPr>
          <w:b/>
          <w:bCs/>
        </w:rPr>
        <w:t xml:space="preserve">Cemdisiran plus pozelimab in PNH:</w:t>
      </w:r>
      <w:r>
        <w:t xml:space="preserve"> </w:t>
      </w:r>
      <w:r>
        <w:t xml:space="preserve">Phase 3 results expected late in Q4.</w:t>
      </w:r>
    </w:p>
    <w:p>
      <w:pPr>
        <w:pStyle w:val="Compact"/>
        <w:numPr>
          <w:ilvl w:val="0"/>
          <w:numId w:val="1013"/>
        </w:numPr>
      </w:pPr>
      <w:r>
        <w:rPr>
          <w:b/>
          <w:bCs/>
        </w:rPr>
        <w:t xml:space="preserve">Complement therapy in geographic atrophy:</w:t>
      </w:r>
      <w:r>
        <w:t xml:space="preserve"> </w:t>
      </w:r>
      <w:r>
        <w:t xml:space="preserve">Exploratory Phase 3 interim data expected in Q4.</w:t>
      </w:r>
    </w:p>
    <w:p>
      <w:pPr>
        <w:pStyle w:val="Compact"/>
        <w:numPr>
          <w:ilvl w:val="0"/>
          <w:numId w:val="1013"/>
        </w:numPr>
      </w:pPr>
      <w:r>
        <w:rPr>
          <w:b/>
          <w:bCs/>
        </w:rPr>
        <w:t xml:space="preserve">Olatorepatide:</w:t>
      </w:r>
      <w:r>
        <w:t xml:space="preserve"> </w:t>
      </w:r>
      <w:r>
        <w:t xml:space="preserve">Global obesity development and the planned Praluent combination.</w:t>
      </w:r>
    </w:p>
    <w:p>
      <w:pPr>
        <w:pStyle w:val="Compact"/>
        <w:numPr>
          <w:ilvl w:val="0"/>
          <w:numId w:val="1013"/>
        </w:numPr>
      </w:pPr>
      <w:r>
        <w:rPr>
          <w:b/>
          <w:bCs/>
        </w:rPr>
        <w:t xml:space="preserve">Factor XI antibodies:</w:t>
      </w:r>
      <w:r>
        <w:t xml:space="preserve"> </w:t>
      </w:r>
      <w:r>
        <w:t xml:space="preserve">A broad Phase 3 program, though commercially meaningful data remain farther out. (</w:t>
      </w:r>
      <w:hyperlink r:id="rId26">
        <w:r>
          <w:rPr>
            <w:rStyle w:val="Hyperlink"/>
          </w:rPr>
          <w:t xml:space="preserve">newsroom.regeneron.com</w:t>
        </w:r>
      </w:hyperlink>
      <w:r>
        <w:t xml:space="preserve">)</w:t>
      </w:r>
    </w:p>
    <w:p>
      <w:pPr>
        <w:pStyle w:val="FirstParagraph"/>
      </w:pPr>
      <w:r>
        <w:t xml:space="preserve">The Q2 call is an opportunity to replace the lost fianlimab narrative with a more prioritized and credible catalyst roadmap.</w:t>
      </w:r>
    </w:p>
    <w:p>
      <w:r>
        <w:pict>
          <v:rect style="width:0;height:1.5pt" o:hralign="center" o:hrstd="t" o:hr="t"/>
        </w:pict>
      </w:r>
    </w:p>
    <w:bookmarkEnd w:id="27"/>
    <w:bookmarkEnd w:id="28"/>
    <w:bookmarkStart w:id="32" w:name="bull-base-and-bear-interpretations"/>
    <w:p>
      <w:pPr>
        <w:pStyle w:val="Heading2"/>
      </w:pPr>
      <w:r>
        <w:t xml:space="preserve">Bull, base and bear interpretations</w:t>
      </w:r>
    </w:p>
    <w:bookmarkStart w:id="29" w:name="bull-case"/>
    <w:p>
      <w:pPr>
        <w:pStyle w:val="Heading3"/>
      </w:pPr>
      <w:r>
        <w:t xml:space="preserve">Bull case</w:t>
      </w:r>
    </w:p>
    <w:p>
      <w:pPr>
        <w:pStyle w:val="Compact"/>
        <w:numPr>
          <w:ilvl w:val="0"/>
          <w:numId w:val="1014"/>
        </w:numPr>
      </w:pPr>
      <w:r>
        <w:t xml:space="preserve">EYLEA HD growth exceeds the implied 10% sequential demand trajectory.</w:t>
      </w:r>
    </w:p>
    <w:p>
      <w:pPr>
        <w:pStyle w:val="Compact"/>
        <w:numPr>
          <w:ilvl w:val="0"/>
          <w:numId w:val="1014"/>
        </w:numPr>
      </w:pPr>
      <w:r>
        <w:t xml:space="preserve">Combined U.S. retinal sales stabilize near or above $925 million.</w:t>
      </w:r>
    </w:p>
    <w:p>
      <w:pPr>
        <w:pStyle w:val="Compact"/>
        <w:numPr>
          <w:ilvl w:val="0"/>
          <w:numId w:val="1014"/>
        </w:numPr>
      </w:pPr>
      <w:r>
        <w:t xml:space="preserve">Dupixent remains above 20% growth with improving collaboration profitability.</w:t>
      </w:r>
    </w:p>
    <w:p>
      <w:pPr>
        <w:pStyle w:val="Compact"/>
        <w:numPr>
          <w:ilvl w:val="0"/>
          <w:numId w:val="1014"/>
        </w:numPr>
      </w:pPr>
      <w:r>
        <w:t xml:space="preserve">Libtayo sustains a $400-million-plus quarterly run rate.</w:t>
      </w:r>
    </w:p>
    <w:p>
      <w:pPr>
        <w:pStyle w:val="Compact"/>
        <w:numPr>
          <w:ilvl w:val="0"/>
          <w:numId w:val="1014"/>
        </w:numPr>
      </w:pPr>
      <w:r>
        <w:t xml:space="preserve">EYLEA HD prefilled-syringe approval is close, with no new manufacturing problems.</w:t>
      </w:r>
    </w:p>
    <w:p>
      <w:pPr>
        <w:pStyle w:val="Compact"/>
        <w:numPr>
          <w:ilvl w:val="0"/>
          <w:numId w:val="1014"/>
        </w:numPr>
      </w:pPr>
      <w:r>
        <w:t xml:space="preserve">Full-year guidance is maintained or modestly improved.</w:t>
      </w:r>
    </w:p>
    <w:p>
      <w:pPr>
        <w:pStyle w:val="Compact"/>
        <w:numPr>
          <w:ilvl w:val="0"/>
          <w:numId w:val="1014"/>
        </w:numPr>
      </w:pPr>
      <w:r>
        <w:t xml:space="preserve">Management provides a disciplined response to the fianlimab failure and emphasizes nearer-term de-risked catalysts.</w:t>
      </w:r>
    </w:p>
    <w:bookmarkEnd w:id="29"/>
    <w:bookmarkStart w:id="30" w:name="base-case"/>
    <w:p>
      <w:pPr>
        <w:pStyle w:val="Heading3"/>
      </w:pPr>
      <w:r>
        <w:t xml:space="preserve">Base case</w:t>
      </w:r>
    </w:p>
    <w:p>
      <w:pPr>
        <w:pStyle w:val="Compact"/>
        <w:numPr>
          <w:ilvl w:val="0"/>
          <w:numId w:val="1015"/>
        </w:numPr>
      </w:pPr>
      <w:r>
        <w:t xml:space="preserve">Revenue lands around</w:t>
      </w:r>
      <w:r>
        <w:t xml:space="preserve"> </w:t>
      </w:r>
      <m:oMath>
        <m:r>
          <m:t>3.8</m:t>
        </m:r>
        <m:r>
          <m:rPr>
            <m:sty m:val="p"/>
          </m:rPr>
          <m:t>–</m:t>
        </m:r>
      </m:oMath>
      <w:r>
        <w:t xml:space="preserve">3.9 billion.</w:t>
      </w:r>
    </w:p>
    <w:p>
      <w:pPr>
        <w:pStyle w:val="Compact"/>
        <w:numPr>
          <w:ilvl w:val="0"/>
          <w:numId w:val="1015"/>
        </w:numPr>
      </w:pPr>
      <w:r>
        <w:t xml:space="preserve">EYLEA HD grows sequentially but total retinal sales remain down approximately 20% year over year.</w:t>
      </w:r>
    </w:p>
    <w:p>
      <w:pPr>
        <w:pStyle w:val="Compact"/>
        <w:numPr>
          <w:ilvl w:val="0"/>
          <w:numId w:val="1015"/>
        </w:numPr>
      </w:pPr>
      <w:r>
        <w:t xml:space="preserve">Dupixent and Libtayo offset much of that decline.</w:t>
      </w:r>
    </w:p>
    <w:p>
      <w:pPr>
        <w:pStyle w:val="Compact"/>
        <w:numPr>
          <w:ilvl w:val="0"/>
          <w:numId w:val="1015"/>
        </w:numPr>
      </w:pPr>
      <w:r>
        <w:t xml:space="preserve">Guidance is reaffirmed.</w:t>
      </w:r>
    </w:p>
    <w:p>
      <w:pPr>
        <w:pStyle w:val="Compact"/>
        <w:numPr>
          <w:ilvl w:val="0"/>
          <w:numId w:val="1015"/>
        </w:numPr>
      </w:pPr>
      <w:r>
        <w:t xml:space="preserve">The prefilled syringe remains delayed but management offers a revised timeline.</w:t>
      </w:r>
    </w:p>
    <w:p>
      <w:pPr>
        <w:pStyle w:val="Compact"/>
        <w:numPr>
          <w:ilvl w:val="0"/>
          <w:numId w:val="1015"/>
        </w:numPr>
      </w:pPr>
      <w:r>
        <w:t xml:space="preserve">The stock reaction is modest because the fundamental trends broadly match expectations.</w:t>
      </w:r>
    </w:p>
    <w:bookmarkEnd w:id="30"/>
    <w:bookmarkStart w:id="31" w:name="bear-case"/>
    <w:p>
      <w:pPr>
        <w:pStyle w:val="Heading3"/>
      </w:pPr>
      <w:r>
        <w:t xml:space="preserve">Bear case</w:t>
      </w:r>
    </w:p>
    <w:p>
      <w:pPr>
        <w:pStyle w:val="Compact"/>
        <w:numPr>
          <w:ilvl w:val="0"/>
          <w:numId w:val="1016"/>
        </w:numPr>
      </w:pPr>
      <w:r>
        <w:t xml:space="preserve">EYLEA HD misses the sequential demand target while legacy EYLEA deteriorates faster than guided.</w:t>
      </w:r>
    </w:p>
    <w:p>
      <w:pPr>
        <w:pStyle w:val="Compact"/>
        <w:numPr>
          <w:ilvl w:val="0"/>
          <w:numId w:val="1016"/>
        </w:numPr>
      </w:pPr>
      <w:r>
        <w:t xml:space="preserve">Total U.S. retinal sales fall materially below $900 million.</w:t>
      </w:r>
    </w:p>
    <w:p>
      <w:pPr>
        <w:pStyle w:val="Compact"/>
        <w:numPr>
          <w:ilvl w:val="0"/>
          <w:numId w:val="1016"/>
        </w:numPr>
      </w:pPr>
      <w:r>
        <w:t xml:space="preserve">The prefilled-syringe process remains open-ended.</w:t>
      </w:r>
    </w:p>
    <w:p>
      <w:pPr>
        <w:pStyle w:val="Compact"/>
        <w:numPr>
          <w:ilvl w:val="0"/>
          <w:numId w:val="1016"/>
        </w:numPr>
      </w:pPr>
      <w:r>
        <w:t xml:space="preserve">Dupixent growth slows more sharply than expected or collaboration margins disappoint.</w:t>
      </w:r>
    </w:p>
    <w:p>
      <w:pPr>
        <w:pStyle w:val="Compact"/>
        <w:numPr>
          <w:ilvl w:val="0"/>
          <w:numId w:val="1016"/>
        </w:numPr>
      </w:pPr>
      <w:r>
        <w:t xml:space="preserve">Libtayo's Q1 strength proves inventory-driven.</w:t>
      </w:r>
    </w:p>
    <w:p>
      <w:pPr>
        <w:pStyle w:val="Compact"/>
        <w:numPr>
          <w:ilvl w:val="0"/>
          <w:numId w:val="1016"/>
        </w:numPr>
      </w:pPr>
      <w:r>
        <w:t xml:space="preserve">Spending remains high without pipeline prioritization after fianlimab.</w:t>
      </w:r>
    </w:p>
    <w:p>
      <w:pPr>
        <w:pStyle w:val="Compact"/>
        <w:numPr>
          <w:ilvl w:val="0"/>
          <w:numId w:val="1016"/>
        </w:numPr>
      </w:pPr>
      <w:r>
        <w:t xml:space="preserve">Management lowers guidance or signals additional manufacturing costs.</w:t>
      </w:r>
    </w:p>
    <w:p>
      <w:r>
        <w:pict>
          <v:rect style="width:0;height:1.5pt" o:hralign="center" o:hrstd="t" o:hr="t"/>
        </w:pict>
      </w:r>
    </w:p>
    <w:bookmarkEnd w:id="31"/>
    <w:bookmarkEnd w:id="32"/>
    <w:bookmarkStart w:id="33" w:name="bottom-line"/>
    <w:p>
      <w:pPr>
        <w:pStyle w:val="Heading2"/>
      </w:pPr>
      <w:r>
        <w:t xml:space="preserve">Bottom line</w:t>
      </w:r>
    </w:p>
    <w:p>
      <w:pPr>
        <w:pStyle w:val="FirstParagraph"/>
      </w:pPr>
      <w:r>
        <w:rPr>
          <w:b/>
          <w:bCs/>
        </w:rPr>
        <w:t xml:space="preserve">This is an EYLEA and credibility quarter, not primarily an EPS quarter.</w:t>
      </w:r>
    </w:p>
    <w:p>
      <w:pPr>
        <w:pStyle w:val="BodyText"/>
      </w:pPr>
      <w:r>
        <w:t xml:space="preserve">Dupixent should remain the financial engine, and Libtayo is becoming a meaningful secondary contributor. But for REGN to re-rate, investors need evidence that EYLEA HD can do more than absorb patients from legacy EYLEA—they need it to stabilize the total retinal franchise.</w:t>
      </w:r>
    </w:p>
    <w:p>
      <w:pPr>
        <w:pStyle w:val="BodyText"/>
      </w:pPr>
      <w:r>
        <w:t xml:space="preserve">The three most market-sensitive disclosures are likely to be:</w:t>
      </w:r>
    </w:p>
    <w:p>
      <w:pPr>
        <w:pStyle w:val="Compact"/>
        <w:numPr>
          <w:ilvl w:val="0"/>
          <w:numId w:val="1017"/>
        </w:numPr>
      </w:pPr>
      <w:r>
        <w:rPr>
          <w:b/>
          <w:bCs/>
        </w:rPr>
        <w:t xml:space="preserve">Combined U.S. EYLEA HD/EYLEA performance and the second-half outlook;</w:t>
      </w:r>
    </w:p>
    <w:p>
      <w:pPr>
        <w:pStyle w:val="Compact"/>
        <w:numPr>
          <w:ilvl w:val="0"/>
          <w:numId w:val="1017"/>
        </w:numPr>
      </w:pPr>
      <w:r>
        <w:rPr>
          <w:b/>
          <w:bCs/>
        </w:rPr>
        <w:t xml:space="preserve">A concrete EYLEA HD prefilled-syringe regulatory timeline;</w:t>
      </w:r>
    </w:p>
    <w:p>
      <w:pPr>
        <w:pStyle w:val="Compact"/>
        <w:numPr>
          <w:ilvl w:val="0"/>
          <w:numId w:val="1017"/>
        </w:numPr>
      </w:pPr>
      <w:r>
        <w:rPr>
          <w:b/>
          <w:bCs/>
        </w:rPr>
        <w:t xml:space="preserve">Pipeline prioritization and capital discipline following the fianlimab Phase 3 miss.</w:t>
      </w:r>
    </w:p>
    <w:p>
      <w:pPr>
        <w:pStyle w:val="FirstParagraph"/>
      </w:pPr>
      <w:r>
        <w:t xml:space="preserve">A routine revenue and EPS beat accompanied by weak retinal trends or another vague manufacturing update may not be enough. Conversely, better-than-feared EYLEA stabilization, paired with sustained Dupixent growth and a clear catalyst roadmap, would make the current valuation look considerably more attractive.</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s://investor.regeneron.com/news-releases/news-release-details/regeneron-provides-update-phase-3-trial-fianlimab-lag-3?utm_source=openai" TargetMode="External" /><Relationship Type="http://schemas.openxmlformats.org/officeDocument/2006/relationships/hyperlink" Id="rId9" Target="https://investor.regeneron.com/news-releases/news-release-details/regeneron-report-second-quarter-2026-financial-and-operating?utm_source=openai" TargetMode="External" /><Relationship Type="http://schemas.openxmlformats.org/officeDocument/2006/relationships/hyperlink" Id="rId15" Target="https://investor.regeneron.com/news-releases/news-release-details/regeneron-reports-first-quarter-2026-financial-and-operating/?utm_source=openai" TargetMode="External" /><Relationship Type="http://schemas.openxmlformats.org/officeDocument/2006/relationships/hyperlink" Id="rId13" Target="https://newsroom.regeneron.com/news-releases/news-release-details/regeneron-reports-second-quarter-2025-financial-and-operating?utm_source=openai" TargetMode="External" /><Relationship Type="http://schemas.openxmlformats.org/officeDocument/2006/relationships/hyperlink" Id="rId26" Target="https://newsroom.regeneron.com/news/press-releases/?utm_source=openai" TargetMode="External" /><Relationship Type="http://schemas.openxmlformats.org/officeDocument/2006/relationships/hyperlink" Id="rId17" Target="https://newsroom.regeneron.com/static-files/e5f63658-7390-44ad-9612-e0228f9301da?utm_source=openai" TargetMode="External" /><Relationship Type="http://schemas.openxmlformats.org/officeDocument/2006/relationships/hyperlink" Id="rId12" Target="https://www.sec.gov/Archives/edgar/data/872589/000110465926080562/tm2619682d1_8k.htm?utm_source=openai" TargetMode="External" /><Relationship Type="http://schemas.openxmlformats.org/officeDocument/2006/relationships/hyperlink" Id="rId11" Target="https://www.tipranks.com/stocks/regn/earnings?utm_source=openai" TargetMode="External" /></Relationships>
</file>

<file path=word/_rels/footnotes.xml.rels><?xml version="1.0" encoding="UTF-8"?><Relationships xmlns="http://schemas.openxmlformats.org/package/2006/relationships"><Relationship Type="http://schemas.openxmlformats.org/officeDocument/2006/relationships/hyperlink" Id="rId25" Target="https://investor.regeneron.com/news-releases/news-release-details/regeneron-provides-update-phase-3-trial-fianlimab-lag-3?utm_source=openai" TargetMode="External" /><Relationship Type="http://schemas.openxmlformats.org/officeDocument/2006/relationships/hyperlink" Id="rId9" Target="https://investor.regeneron.com/news-releases/news-release-details/regeneron-report-second-quarter-2026-financial-and-operating?utm_source=openai" TargetMode="External" /><Relationship Type="http://schemas.openxmlformats.org/officeDocument/2006/relationships/hyperlink" Id="rId15" Target="https://investor.regeneron.com/news-releases/news-release-details/regeneron-reports-first-quarter-2026-financial-and-operating/?utm_source=openai" TargetMode="External" /><Relationship Type="http://schemas.openxmlformats.org/officeDocument/2006/relationships/hyperlink" Id="rId13" Target="https://newsroom.regeneron.com/news-releases/news-release-details/regeneron-reports-second-quarter-2025-financial-and-operating?utm_source=openai" TargetMode="External" /><Relationship Type="http://schemas.openxmlformats.org/officeDocument/2006/relationships/hyperlink" Id="rId26" Target="https://newsroom.regeneron.com/news/press-releases/?utm_source=openai" TargetMode="External" /><Relationship Type="http://schemas.openxmlformats.org/officeDocument/2006/relationships/hyperlink" Id="rId17" Target="https://newsroom.regeneron.com/static-files/e5f63658-7390-44ad-9612-e0228f9301da?utm_source=openai" TargetMode="External" /><Relationship Type="http://schemas.openxmlformats.org/officeDocument/2006/relationships/hyperlink" Id="rId12" Target="https://www.sec.gov/Archives/edgar/data/872589/000110465926080562/tm2619682d1_8k.htm?utm_source=openai" TargetMode="External" /><Relationship Type="http://schemas.openxmlformats.org/officeDocument/2006/relationships/hyperlink" Id="rId11" Target="https://www.tipranks.com/stocks/regn/earning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2026-07-29T18:09:44Z</dcterms:created>
  <dcterms:modified xsi:type="dcterms:W3CDTF">2026-07-29T18:09:44Z</dcterms:modified>
</cp:coreProperties>
</file>

<file path=docProps/custom.xml><?xml version="1.0" encoding="utf-8"?>
<Properties xmlns="http://schemas.openxmlformats.org/officeDocument/2006/custom-properties" xmlns:vt="http://schemas.openxmlformats.org/officeDocument/2006/docPropsVTypes"/>
</file>