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regn-earnings-predictions--2026-07-30"/>
    <w:p>
      <w:pPr>
        <w:pStyle w:val="Heading1"/>
      </w:pPr>
      <w:r>
        <w:t xml:space="preserve">REGN Earnings Predictions — 2026-07-30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Ticker</w:t>
            </w:r>
          </w:p>
        </w:tc>
        <w:tc>
          <w:tcPr/>
          <w:p>
            <w:pPr>
              <w:pStyle w:val="Compact"/>
            </w:pPr>
            <w:r>
              <w:t xml:space="preserve">Report or Guide</w:t>
            </w:r>
          </w:p>
        </w:tc>
        <w:tc>
          <w:tcPr/>
          <w:p>
            <w:pPr>
              <w:pStyle w:val="Compact"/>
            </w:pPr>
            <w:r>
              <w:t xml:space="preserve">KPI</w:t>
            </w:r>
          </w:p>
        </w:tc>
        <w:tc>
          <w:tcPr/>
          <w:p>
            <w:pPr>
              <w:pStyle w:val="Compact"/>
            </w:pPr>
            <w:r>
              <w:t xml:space="preserve">Prediction</w:t>
            </w:r>
          </w:p>
        </w:tc>
        <w:tc>
          <w:tcPr/>
          <w:p>
            <w:pPr>
              <w:pStyle w:val="Compact"/>
            </w:pPr>
            <w: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Confidence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REGN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Non-GAAP diluted EPS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~$10.98 vs. cons $10.80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REGN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Total revenue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~$3.88B vs. cons $3.83B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REGN</w:t>
            </w:r>
          </w:p>
        </w:tc>
        <w:tc>
          <w:tcPr/>
          <w:p>
            <w:pPr>
              <w:pStyle w:val="Compact"/>
            </w:pPr>
            <w:r>
              <w:t xml:space="preserve">Report</w:t>
            </w:r>
          </w:p>
        </w:tc>
        <w:tc>
          <w:tcPr/>
          <w:p>
            <w:pPr>
              <w:pStyle w:val="Compact"/>
            </w:pPr>
            <w:r>
              <w:t xml:space="preserve">U.S. EYLEA HD plus EYLEA net sales</w:t>
            </w:r>
          </w:p>
        </w:tc>
        <w:tc>
          <w:tcPr/>
          <w:p>
            <w:pPr>
              <w:pStyle w:val="Compact"/>
            </w:pPr>
            <w:r>
              <w:t xml:space="preserve">BEAT</w:t>
            </w:r>
          </w:p>
        </w:tc>
        <w:tc>
          <w:tcPr/>
          <w:p>
            <w:pPr>
              <w:pStyle w:val="Compact"/>
            </w:pPr>
            <w:r>
              <w:t xml:space="preserve">pred ~$0.96B vs. cons $0.94B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REGN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GAAP gross margin on net product sales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~77.5% vs. cons 77.5% (FY2026)</w:t>
            </w:r>
          </w:p>
        </w:tc>
        <w:tc>
          <w:tcPr/>
          <w:p>
            <w:pPr>
              <w:pStyle w:val="Compact"/>
            </w:pPr>
            <w:r>
              <w:t xml:space="preserve">HIGH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REGN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Non-GAAP R&amp;D expense</w:t>
            </w:r>
          </w:p>
        </w:tc>
        <w:tc>
          <w:tcPr/>
          <w:p>
            <w:pPr>
              <w:pStyle w:val="Compact"/>
            </w:pPr>
            <w:r>
              <w:t xml:space="preserve">UNCHANGED</w:t>
            </w:r>
          </w:p>
        </w:tc>
        <w:tc>
          <w:tcPr/>
          <w:p>
            <w:pPr>
              <w:pStyle w:val="Compact"/>
            </w:pPr>
            <w:r>
              <w:t xml:space="preserve">guide ~$6.00B vs. cons $6.00B (FY2026)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REGN</w:t>
            </w:r>
          </w:p>
        </w:tc>
        <w:tc>
          <w:tcPr/>
          <w:p>
            <w:pPr>
              <w:pStyle w:val="Compact"/>
            </w:pPr>
            <w:r>
              <w:t xml:space="preserve">Guide</w:t>
            </w:r>
          </w:p>
        </w:tc>
        <w:tc>
          <w:tcPr/>
          <w:p>
            <w:pPr>
              <w:pStyle w:val="Compact"/>
            </w:pPr>
            <w:r>
              <w:t xml:space="preserve">Sanofi collaboration-profit recognition</w:t>
            </w:r>
          </w:p>
        </w:tc>
        <w:tc>
          <w:tcPr/>
          <w:p>
            <w:pPr>
              <w:pStyle w:val="Compact"/>
            </w:pPr>
            <w:r>
              <w:t xml:space="preserve">BETTER</w:t>
            </w:r>
          </w:p>
        </w:tc>
        <w:tc>
          <w:tcPr/>
          <w:p>
            <w:pPr>
              <w:pStyle w:val="Compact"/>
            </w:pPr>
            <w:r>
              <w:t xml:space="preserve">guide ~$1.75B vs. cons $1.70B (3Q2026)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REGN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Day-1 residual (stock − beta × S&amp;P 500)</w:t>
            </w:r>
          </w:p>
        </w:tc>
        <w:tc>
          <w:tcPr/>
          <w:p>
            <w:pPr>
              <w:pStyle w:val="Compact"/>
            </w:pPr>
            <w:r>
              <w:t xml:space="preserve">+3.2%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REGN</w:t>
            </w:r>
          </w:p>
        </w:tc>
        <w:tc>
          <w:tcPr/>
          <w:p>
            <w:pPr>
              <w:pStyle w:val="Compact"/>
            </w:pPr>
            <w:r>
              <w:t xml:space="preserve">Return</w:t>
            </w:r>
          </w:p>
        </w:tc>
        <w:tc>
          <w:tcPr/>
          <w:p>
            <w:pPr>
              <w:pStyle w:val="Compact"/>
            </w:pPr>
            <w:r>
              <w:t xml:space="preserve">5-day cumulative residual</w:t>
            </w:r>
          </w:p>
        </w:tc>
        <w:tc>
          <w:tcPr/>
          <w:p>
            <w:pPr>
              <w:pStyle w:val="Compact"/>
            </w:pPr>
            <w:r>
              <w:t xml:space="preserve">+4.8% (FOLLOW-THROUGH)</w:t>
            </w:r>
          </w:p>
        </w:tc>
        <w:tc>
          <w:tcPr/>
          <w:p>
            <w:pPr>
              <w:pStyle w:val="Compact"/>
            </w:pPr>
            <w:r>
              <w:t xml:space="preserve">A ~3.2% day-1 residual move versus a 0.0% beta-adjusted baseline should extend toward ~4.8% over five days versus a 0.0% baseline: modest operational beats, intact FY2026 expense guidance, manufacturing normalization, and full Sanofi profit-share recognition beginning in 3Q26 support upward 2H26 and 2027 EPS revisions rather than a one-day headline-only reaction.</w:t>
            </w:r>
          </w:p>
        </w:tc>
        <w:tc>
          <w:tcPr/>
          <w:p>
            <w:pPr>
              <w:pStyle w:val="Compact"/>
            </w:pPr>
            <w:r>
              <w:t xml:space="preserve">MEDIUM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2026-07-29T18:06:40Z</dcterms:created>
  <dcterms:modified xsi:type="dcterms:W3CDTF">2026-07-29T18:06:40Z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