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regeneron-regn--2q26-earnings-preview"/>
    <w:p>
      <w:pPr>
        <w:pStyle w:val="Heading1"/>
      </w:pPr>
      <w:r>
        <w:t xml:space="preserve">Regeneron (REGN) — 2Q26 Earnings Preview</w:t>
      </w:r>
    </w:p>
    <w:p>
      <w:pPr>
        <w:pStyle w:val="FirstParagraph"/>
      </w:pPr>
      <w:r>
        <w:rPr>
          <w:b/>
          <w:bCs/>
        </w:rPr>
        <w:t xml:space="preserve">Earnings date:</w:t>
      </w:r>
      <w:r>
        <w:t xml:space="preserve"> </w:t>
      </w:r>
      <w:r>
        <w:t xml:space="preserve">Thursday,</w:t>
      </w:r>
      <w:r>
        <w:t xml:space="preserve"> </w:t>
      </w:r>
      <w:r>
        <w:rPr>
          <w:b/>
          <w:bCs/>
        </w:rPr>
        <w:t xml:space="preserve">July 30, 2026</w:t>
      </w:r>
      <w:r>
        <w:t xml:space="preserve">, before the U.S. market opens; conference call at 8:30 a.m. ET. (</w:t>
      </w:r>
      <w:hyperlink r:id="rId9">
        <w:r>
          <w:rPr>
            <w:rStyle w:val="Hyperlink"/>
          </w:rPr>
          <w:t xml:space="preserve">investor.regeneron.com</w:t>
        </w:r>
      </w:hyperlink>
      <w:r>
        <w:t xml:space="preserve">)</w:t>
      </w:r>
    </w:p>
    <w:bookmarkStart w:id="10" w:name="X5e06786eab973001dfcef076d60a3e2d3ce887b"/>
    <w:p>
      <w:pPr>
        <w:pStyle w:val="Heading2"/>
      </w:pPr>
      <w:r>
        <w:t xml:space="preserve">Investment view: commercial execution and the post-fianlimab reset matter more than the headline EPS</w:t>
      </w:r>
    </w:p>
    <w:p>
      <w:pPr>
        <w:pStyle w:val="FirstParagraph"/>
      </w:pPr>
      <w:r>
        <w:t xml:space="preserve">Regeneron enters 2Q26 with a strong underlying growth engine—principally</w:t>
      </w:r>
      <w:r>
        <w:t xml:space="preserve"> </w:t>
      </w:r>
      <w:r>
        <w:rPr>
          <w:b/>
          <w:bCs/>
        </w:rPr>
        <w:t xml:space="preserve">Dupixent</w:t>
      </w:r>
      <w:r>
        <w:t xml:space="preserve">, expanding</w:t>
      </w:r>
      <w:r>
        <w:t xml:space="preserve"> </w:t>
      </w:r>
      <w:r>
        <w:rPr>
          <w:b/>
          <w:bCs/>
        </w:rPr>
        <w:t xml:space="preserve">Libtayo</w:t>
      </w:r>
      <w:r>
        <w:t xml:space="preserve">, and continued conversion to</w:t>
      </w:r>
      <w:r>
        <w:t xml:space="preserve"> </w:t>
      </w:r>
      <w:r>
        <w:rPr>
          <w:b/>
          <w:bCs/>
        </w:rPr>
        <w:t xml:space="preserve">EYLEA HD</w:t>
      </w:r>
      <w:r>
        <w:t xml:space="preserve">—but with a more complicated earnings setup than the headline revenue trend suggests.</w:t>
      </w:r>
    </w:p>
    <w:p>
      <w:pPr>
        <w:pStyle w:val="BodyText"/>
      </w:pPr>
      <w:r>
        <w:t xml:space="preserve">The key debate is whether commercial momentum and a growing set of nearer-term regulatory catalysts can offset:</w:t>
      </w:r>
    </w:p>
    <w:p>
      <w:pPr>
        <w:pStyle w:val="Compact"/>
        <w:numPr>
          <w:ilvl w:val="0"/>
          <w:numId w:val="1001"/>
        </w:numPr>
      </w:pPr>
      <w:r>
        <w:t xml:space="preserve">continued erosion in legacy EYLEA,</w:t>
      </w:r>
    </w:p>
    <w:p>
      <w:pPr>
        <w:pStyle w:val="Compact"/>
        <w:numPr>
          <w:ilvl w:val="0"/>
          <w:numId w:val="1001"/>
        </w:numPr>
      </w:pPr>
      <w:r>
        <w:t xml:space="preserve">a temporary manufacturing-related gross-margin drag,</w:t>
      </w:r>
    </w:p>
    <w:p>
      <w:pPr>
        <w:pStyle w:val="Compact"/>
        <w:numPr>
          <w:ilvl w:val="0"/>
          <w:numId w:val="1001"/>
        </w:numPr>
      </w:pPr>
      <w:r>
        <w:t xml:space="preserve">a disclosed</w:t>
      </w:r>
      <w:r>
        <w:t xml:space="preserve"> </w:t>
      </w:r>
      <w:r>
        <w:rPr>
          <w:b/>
          <w:bCs/>
        </w:rPr>
        <w:t xml:space="preserve">~$1.00 per-share</w:t>
      </w:r>
      <w:r>
        <w:t xml:space="preserve"> </w:t>
      </w:r>
      <w:r>
        <w:t xml:space="preserve">2Q hit from acquired IPR&amp;D, and</w:t>
      </w:r>
    </w:p>
    <w:p>
      <w:pPr>
        <w:pStyle w:val="Compact"/>
        <w:numPr>
          <w:ilvl w:val="0"/>
          <w:numId w:val="1001"/>
        </w:numPr>
      </w:pPr>
      <w:r>
        <w:t xml:space="preserve">the strategic/perception damage from the failed pivotal fianlimab melanoma trial.</w:t>
      </w:r>
    </w:p>
    <w:p>
      <w:pPr>
        <w:pStyle w:val="FirstParagraph"/>
      </w:pPr>
      <w:r>
        <w:t xml:space="preserve">Investors should therefore prioritize the</w:t>
      </w:r>
      <w:r>
        <w:t xml:space="preserve"> </w:t>
      </w:r>
      <w:r>
        <w:rPr>
          <w:b/>
          <w:bCs/>
        </w:rPr>
        <w:t xml:space="preserve">quality and durability of growth</w:t>
      </w:r>
      <w:r>
        <w:t xml:space="preserve">, the</w:t>
      </w:r>
      <w:r>
        <w:t xml:space="preserve"> </w:t>
      </w:r>
      <w:r>
        <w:rPr>
          <w:b/>
          <w:bCs/>
        </w:rPr>
        <w:t xml:space="preserve">outlook for 2H26</w:t>
      </w:r>
      <w:r>
        <w:t xml:space="preserve">, and management’s credibility on pipeline capital allocation—not simply whether reported EPS clears expectations.</w:t>
      </w:r>
    </w:p>
    <w:p>
      <w:r>
        <w:pict>
          <v:rect style="width:0;height:1.5pt" o:hralign="center" o:hrstd="t" o:hr="t"/>
        </w:pict>
      </w:r>
    </w:p>
    <w:bookmarkEnd w:id="10"/>
    <w:bookmarkStart w:id="17" w:name="what-matters-most-on-the-print"/>
    <w:p>
      <w:pPr>
        <w:pStyle w:val="Heading2"/>
      </w:pPr>
      <w:r>
        <w:t xml:space="preserve">What matters most on the print</w:t>
      </w:r>
    </w:p>
    <w:bookmarkStart w:id="12" w:name="X2186fb539f83e10e364947c9c50944f48a6a915"/>
    <w:p>
      <w:pPr>
        <w:pStyle w:val="Heading3"/>
      </w:pPr>
      <w:r>
        <w:t xml:space="preserve">1. Dupixent remains the central earnings driver</w:t>
      </w:r>
    </w:p>
    <w:p>
      <w:pPr>
        <w:pStyle w:val="FirstParagraph"/>
      </w:pPr>
      <w:r>
        <w:t xml:space="preserve">Dupixent is the company’s most important value driver. Global sales reached</w:t>
      </w:r>
      <w:r>
        <w:t xml:space="preserve"> </w:t>
      </w:r>
      <m:oMath>
        <m:r>
          <m:t>4.88</m:t>
        </m:r>
        <m:r>
          <m:t>b</m:t>
        </m:r>
        <m:r>
          <m:t>i</m:t>
        </m:r>
        <m:r>
          <m:t>l</m:t>
        </m:r>
        <m:r>
          <m:t>l</m:t>
        </m:r>
        <m:r>
          <m:t>i</m:t>
        </m:r>
        <m:r>
          <m:t>o</m:t>
        </m:r>
        <m:r>
          <m:t>n</m:t>
        </m:r>
        <m:r>
          <m:t>i</m:t>
        </m:r>
        <m:r>
          <m:t>n</m:t>
        </m:r>
        <m:r>
          <m:t>1</m:t>
        </m:r>
        <m:r>
          <m:t>Q</m:t>
        </m:r>
        <m:r>
          <m:t>26</m:t>
        </m:r>
        <m:r>
          <m:rPr>
            <m:sty m:val="p"/>
          </m:rPr>
          <m:t>*</m:t>
        </m:r>
        <m:r>
          <m:rPr>
            <m:sty m:val="p"/>
          </m:rPr>
          <m:t>*</m:t>
        </m:r>
        <m:r>
          <m:rPr>
            <m:sty m:val="p"/>
          </m:rPr>
          <m:t>,</m:t>
        </m:r>
        <m:r>
          <m:t>u</m:t>
        </m:r>
        <m:r>
          <m:t>p</m:t>
        </m:r>
        <m:r>
          <m:rPr>
            <m:sty m:val="p"/>
          </m:rPr>
          <m:t>*</m:t>
        </m:r>
        <m:r>
          <m:rPr>
            <m:sty m:val="p"/>
          </m:rPr>
          <m:t>*</m:t>
        </m:r>
        <m:r>
          <m:t>33</m:t>
        </m:r>
      </m:oMath>
      <w:r>
        <w:rPr>
          <w:b/>
          <w:bCs/>
        </w:rPr>
        <w:t xml:space="preserve">1.45 billion</w:t>
      </w:r>
      <w:r>
        <w:t xml:space="preserve"> </w:t>
      </w:r>
      <w:r>
        <w:t xml:space="preserve">of profit-share revenue from the Sanofi collaboration. The franchise benefits from broad uptake in its core atopic dermatitis, asthma, chronic rhinosinusitis with nasal polyps, and eosinophilic esophagitis indications, as well as newer launches including COPD, chronic spontaneous urticaria, bullous pemphigoid, and allergic fungal rhinosinusitis. (</w:t>
      </w:r>
      <w:hyperlink r:id="rId11">
        <w:r>
          <w:rPr>
            <w:rStyle w:val="Hyperlink"/>
          </w:rPr>
          <w:t xml:space="preserve">investor.regeneron.com</w:t>
        </w:r>
      </w:hyperlink>
      <w:r>
        <w:t xml:space="preserve">)</w:t>
      </w:r>
    </w:p>
    <w:p>
      <w:pPr>
        <w:pStyle w:val="BodyText"/>
      </w:pPr>
      <w:r>
        <w:rPr>
          <w:b/>
          <w:bCs/>
        </w:rPr>
        <w:t xml:space="preserve">What investors should watch</w:t>
      </w:r>
    </w:p>
    <w:p>
      <w:pPr>
        <w:pStyle w:val="Compact"/>
        <w:numPr>
          <w:ilvl w:val="0"/>
          <w:numId w:val="1002"/>
        </w:numPr>
      </w:pPr>
      <w:r>
        <w:t xml:space="preserve">Whether Dupixent maintains high-20s or better global growth off a much larger base.</w:t>
      </w:r>
    </w:p>
    <w:p>
      <w:pPr>
        <w:pStyle w:val="Compact"/>
        <w:numPr>
          <w:ilvl w:val="0"/>
          <w:numId w:val="1002"/>
        </w:numPr>
      </w:pPr>
      <w:r>
        <w:t xml:space="preserve">U.S. versus international growth, pricing/rebate dynamics, and contribution from newer indications.</w:t>
      </w:r>
    </w:p>
    <w:p>
      <w:pPr>
        <w:pStyle w:val="Compact"/>
        <w:numPr>
          <w:ilvl w:val="0"/>
          <w:numId w:val="1002"/>
        </w:numPr>
      </w:pPr>
      <w:r>
        <w:t xml:space="preserve">Sanofi collaboration profitability—not just sales—because Regeneron participates through its share of collaboration profits.</w:t>
      </w:r>
    </w:p>
    <w:p>
      <w:pPr>
        <w:pStyle w:val="Compact"/>
        <w:numPr>
          <w:ilvl w:val="0"/>
          <w:numId w:val="1002"/>
        </w:numPr>
      </w:pPr>
      <w:r>
        <w:t xml:space="preserve">Commentary on the next-generation immunology portfolio and potential lifecycle-management arrangements with Sanofi.</w:t>
      </w:r>
    </w:p>
    <w:p>
      <w:pPr>
        <w:pStyle w:val="FirstParagraph"/>
      </w:pPr>
      <w:r>
        <w:t xml:space="preserve">A notable accounting tailwind is approaching: management said the Sanofi development balance was expected to be fully repaid by the end of 2Q26, with Regeneron’s collaboration revenue expected to reflect its</w:t>
      </w:r>
      <w:r>
        <w:t xml:space="preserve"> </w:t>
      </w:r>
      <w:r>
        <w:rPr>
          <w:b/>
          <w:bCs/>
        </w:rPr>
        <w:t xml:space="preserve">full share of collaboration profits beginning in 3Q26</w:t>
      </w:r>
      <w:r>
        <w:t xml:space="preserve">. Thus, the more visible earnings benefit may be a</w:t>
      </w:r>
      <w:r>
        <w:t xml:space="preserve"> </w:t>
      </w:r>
      <w:r>
        <w:rPr>
          <w:b/>
          <w:bCs/>
        </w:rPr>
        <w:t xml:space="preserve">second-half</w:t>
      </w:r>
      <w:r>
        <w:t xml:space="preserve"> </w:t>
      </w:r>
      <w:r>
        <w:t xml:space="preserve">rather than a 2Q event.</w:t>
      </w:r>
    </w:p>
    <w:bookmarkEnd w:id="12"/>
    <w:bookmarkStart w:id="13" w:name="Xb6827cf4c79da4a3063177d717413db31aa1383"/>
    <w:p>
      <w:pPr>
        <w:pStyle w:val="Heading3"/>
      </w:pPr>
      <w:r>
        <w:t xml:space="preserve">2. EYLEA HD conversion must outweigh legacy EYLEA erosion</w:t>
      </w:r>
    </w:p>
    <w:p>
      <w:pPr>
        <w:pStyle w:val="FirstParagraph"/>
      </w:pPr>
      <w:r>
        <w:t xml:space="preserve">The retina franchise remains the key commercial swing factor. In 1Q26, U.S. EYLEA HD sales grew</w:t>
      </w:r>
      <w:r>
        <w:t xml:space="preserve"> </w:t>
      </w:r>
      <w:r>
        <w:rPr>
          <w:b/>
          <w:bCs/>
        </w:rPr>
        <w:t xml:space="preserve">52% year over year to $468 million</w:t>
      </w:r>
      <w:r>
        <w:t xml:space="preserve">, but combined U.S. EYLEA HD plus legacy EYLEA sales fell</w:t>
      </w:r>
      <w:r>
        <w:t xml:space="preserve"> </w:t>
      </w:r>
      <w:r>
        <w:rPr>
          <w:b/>
          <w:bCs/>
        </w:rPr>
        <w:t xml:space="preserve">10% to $941 million</w:t>
      </w:r>
      <w:r>
        <w:t xml:space="preserve">. Importantly, HD sales fell sequentially because of wholesaler-inventory movements even as physician unit demand increased</w:t>
      </w:r>
      <w:r>
        <w:t xml:space="preserve"> </w:t>
      </w:r>
      <w:r>
        <w:rPr>
          <w:b/>
          <w:bCs/>
        </w:rPr>
        <w:t xml:space="preserve">10% sequentially</w:t>
      </w:r>
      <w:r>
        <w:t xml:space="preserve">. (</w:t>
      </w:r>
      <w:hyperlink r:id="rId11">
        <w:r>
          <w:rPr>
            <w:rStyle w:val="Hyperlink"/>
          </w:rPr>
          <w:t xml:space="preserve">investor.regeneron.com</w:t>
        </w:r>
      </w:hyperlink>
      <w:r>
        <w:t xml:space="preserve">)</w:t>
      </w:r>
    </w:p>
    <w:p>
      <w:pPr>
        <w:pStyle w:val="BodyText"/>
      </w:pPr>
      <w:r>
        <w:t xml:space="preserve">Management’s 2Q setup was explicit:</w:t>
      </w:r>
    </w:p>
    <w:p>
      <w:pPr>
        <w:pStyle w:val="Compact"/>
        <w:numPr>
          <w:ilvl w:val="0"/>
          <w:numId w:val="1003"/>
        </w:numPr>
      </w:pPr>
      <w:r>
        <w:t xml:space="preserve">EYLEA HD physician demand was expected to grow sequentially at a rate consistent with 1Q’s</w:t>
      </w:r>
      <w:r>
        <w:t xml:space="preserve"> </w:t>
      </w:r>
      <w:r>
        <w:rPr>
          <w:b/>
          <w:bCs/>
        </w:rPr>
        <w:t xml:space="preserve">10%</w:t>
      </w:r>
      <w:r>
        <w:t xml:space="preserve"> </w:t>
      </w:r>
      <w:r>
        <w:t xml:space="preserve">growth.</w:t>
      </w:r>
    </w:p>
    <w:p>
      <w:pPr>
        <w:pStyle w:val="Compact"/>
        <w:numPr>
          <w:ilvl w:val="0"/>
          <w:numId w:val="1003"/>
        </w:numPr>
      </w:pPr>
      <w:r>
        <w:t xml:space="preserve">Legacy EYLEA demand was expected to decline in the</w:t>
      </w:r>
      <w:r>
        <w:t xml:space="preserve"> </w:t>
      </w:r>
      <w:r>
        <w:rPr>
          <w:b/>
          <w:bCs/>
        </w:rPr>
        <w:t xml:space="preserve">mid- to high-teens</w:t>
      </w:r>
      <w:r>
        <w:t xml:space="preserve"> </w:t>
      </w:r>
      <w:r>
        <w:t xml:space="preserve">sequentially.</w:t>
      </w:r>
    </w:p>
    <w:p>
      <w:pPr>
        <w:pStyle w:val="Compact"/>
        <w:numPr>
          <w:ilvl w:val="0"/>
          <w:numId w:val="1003"/>
        </w:numPr>
      </w:pPr>
      <w:r>
        <w:t xml:space="preserve">Continued inventory absorption was expected to reduce 2Q legacy EYLEA sales by roughly</w:t>
      </w:r>
      <w:r>
        <w:t xml:space="preserve"> </w:t>
      </w:r>
      <w:r>
        <w:rPr>
          <w:b/>
          <w:bCs/>
        </w:rPr>
        <w:t xml:space="preserve">$20 million</w:t>
      </w:r>
      <w:r>
        <w:t xml:space="preserve">.</w:t>
      </w:r>
    </w:p>
    <w:p>
      <w:pPr>
        <w:pStyle w:val="FirstParagraph"/>
      </w:pPr>
      <w:r>
        <w:rPr>
          <w:b/>
          <w:bCs/>
        </w:rPr>
        <w:t xml:space="preserve">The read-through:</w:t>
      </w:r>
      <w:r>
        <w:t xml:space="preserve"> </w:t>
      </w:r>
      <w:r>
        <w:t xml:space="preserve">reported franchise sales may still look soft even if EYLEA HD demand is healthy. The most useful datapoints will be HD unit demand, HD’s percentage of franchise sales, net-price trends, biosimilar pressure, and any update on the delayed EYLEA HD prefilled-syringe filing. The FDA had not acted by the prior April action date, and Regeneron had expected a decision on one or both manufacturing-related applications during 2Q.</w:t>
      </w:r>
    </w:p>
    <w:bookmarkEnd w:id="13"/>
    <w:bookmarkStart w:id="15" w:name="Xde7dbefdb9434fde6cba832b6f1c0743ecf48ac"/>
    <w:p>
      <w:pPr>
        <w:pStyle w:val="Heading3"/>
      </w:pPr>
      <w:r>
        <w:t xml:space="preserve">3. Expect a mechanically weaker EPS print due to the disclosed IPR&amp;D charge</w:t>
      </w:r>
    </w:p>
    <w:p>
      <w:pPr>
        <w:pStyle w:val="FirstParagraph"/>
      </w:pPr>
      <w:r>
        <w:t xml:space="preserve">On July 6, Regeneron pre-announced an approximately</w:t>
      </w:r>
      <w:r>
        <w:t xml:space="preserve"> </w:t>
      </w:r>
      <w:r>
        <w:rPr>
          <w:b/>
          <w:bCs/>
        </w:rPr>
        <w:t xml:space="preserve">$127 million pre-tax acquired IPR&amp;D charge** related to upfront and opt-in payments for collaboration and licensing agreements. The company expects the charge to reduce both GAAP and non-GAAP diluted EPS by approximately **$</w:t>
      </w:r>
      <w:r>
        <w:rPr>
          <w:b/>
          <w:bCs/>
        </w:rPr>
        <w:t xml:space="preserve">1.00</w:t>
      </w:r>
      <w:r>
        <w:t xml:space="preserve"> </w:t>
      </w:r>
      <w:r>
        <w:t xml:space="preserve">in 2Q26. (</w:t>
      </w:r>
      <w:hyperlink r:id="rId14">
        <w:r>
          <w:rPr>
            <w:rStyle w:val="Hyperlink"/>
          </w:rPr>
          <w:t xml:space="preserve">investor.regeneron.com</w:t>
        </w:r>
      </w:hyperlink>
      <w:r>
        <w:t xml:space="preserve">)</w:t>
      </w:r>
    </w:p>
    <w:p>
      <w:pPr>
        <w:pStyle w:val="BodyText"/>
      </w:pPr>
      <w:r>
        <w:t xml:space="preserve">That makes the quarter unusually sensitive to presentation:</w:t>
      </w:r>
    </w:p>
    <w:p>
      <w:pPr>
        <w:pStyle w:val="Compact"/>
        <w:numPr>
          <w:ilvl w:val="0"/>
          <w:numId w:val="1004"/>
        </w:numPr>
      </w:pPr>
      <w:r>
        <w:t xml:space="preserve">Investors should distinguish operational performance from the IPR&amp;D charge.</w:t>
      </w:r>
    </w:p>
    <w:p>
      <w:pPr>
        <w:pStyle w:val="Compact"/>
        <w:numPr>
          <w:ilvl w:val="0"/>
          <w:numId w:val="1004"/>
        </w:numPr>
      </w:pPr>
      <w:r>
        <w:t xml:space="preserve">Management needs to identify the underlying transactions, strategic rationale, and any future spending commitments.</w:t>
      </w:r>
    </w:p>
    <w:p>
      <w:pPr>
        <w:pStyle w:val="Compact"/>
        <w:numPr>
          <w:ilvl w:val="0"/>
          <w:numId w:val="1004"/>
        </w:numPr>
      </w:pPr>
      <w:r>
        <w:t xml:space="preserve">A clean beat before the charge may not translate into a clean headline EPS outcome.</w:t>
      </w:r>
    </w:p>
    <w:p>
      <w:pPr>
        <w:pStyle w:val="FirstParagraph"/>
      </w:pPr>
      <w:r>
        <w:t xml:space="preserve">The charge follows</w:t>
      </w:r>
      <w:r>
        <w:t xml:space="preserve"> </w:t>
      </w:r>
      <w:r>
        <w:rPr>
          <w:b/>
          <w:bCs/>
        </w:rPr>
        <w:t xml:space="preserve">$102 million</w:t>
      </w:r>
      <w:r>
        <w:t xml:space="preserve"> </w:t>
      </w:r>
      <w:r>
        <w:t xml:space="preserve">of IPR&amp;D expense in 1Q26, reinforcing that business development is becoming a more meaningful source of quarterly earnings variability.</w:t>
      </w:r>
    </w:p>
    <w:bookmarkEnd w:id="15"/>
    <w:bookmarkStart w:id="16" w:name="X455be9b46f1146a740ea4f6bd12c0d6a7ad3a35"/>
    <w:p>
      <w:pPr>
        <w:pStyle w:val="Heading3"/>
      </w:pPr>
      <w:r>
        <w:t xml:space="preserve">4. Gross-margin recovery is an important 2H26 setup item</w:t>
      </w:r>
    </w:p>
    <w:p>
      <w:pPr>
        <w:pStyle w:val="FirstParagraph"/>
      </w:pPr>
      <w:r>
        <w:t xml:space="preserve">First-quarter GAAP product gross margin was just</w:t>
      </w:r>
      <w:r>
        <w:t xml:space="preserve"> </w:t>
      </w:r>
      <w:r>
        <w:rPr>
          <w:b/>
          <w:bCs/>
        </w:rPr>
        <w:t xml:space="preserve">76%</w:t>
      </w:r>
      <w:r>
        <w:t xml:space="preserve">, versus 81% a year earlier, because of a temporary bulk-manufacturing interruption at Regeneron’s Limerick, Ireland facility. The company said initial production resumed in 2Q, but full production was not expected until the end of the quarter; accordingly, GAAP gross margin was expected to remain under pressure in 2Q. (</w:t>
      </w:r>
      <w:hyperlink r:id="rId11">
        <w:r>
          <w:rPr>
            <w:rStyle w:val="Hyperlink"/>
          </w:rPr>
          <w:t xml:space="preserve">investor.regeneron.com</w:t>
        </w:r>
      </w:hyperlink>
      <w:r>
        <w:t xml:space="preserve">)</w:t>
      </w:r>
    </w:p>
    <w:p>
      <w:pPr>
        <w:pStyle w:val="BodyText"/>
      </w:pPr>
      <w:r>
        <w:rPr>
          <w:b/>
          <w:bCs/>
        </w:rPr>
        <w:t xml:space="preserve">Key questions for the call</w:t>
      </w:r>
    </w:p>
    <w:p>
      <w:pPr>
        <w:pStyle w:val="Compact"/>
        <w:numPr>
          <w:ilvl w:val="0"/>
          <w:numId w:val="1005"/>
        </w:numPr>
      </w:pPr>
      <w:r>
        <w:t xml:space="preserve">Has full production normalized on schedule?</w:t>
      </w:r>
    </w:p>
    <w:p>
      <w:pPr>
        <w:pStyle w:val="Compact"/>
        <w:numPr>
          <w:ilvl w:val="0"/>
          <w:numId w:val="1005"/>
        </w:numPr>
      </w:pPr>
      <w:r>
        <w:t xml:space="preserve">Is there any residual inventory write-off, under-absorption, or cost drag extending into 3Q?</w:t>
      </w:r>
    </w:p>
    <w:p>
      <w:pPr>
        <w:pStyle w:val="Compact"/>
        <w:numPr>
          <w:ilvl w:val="0"/>
          <w:numId w:val="1005"/>
        </w:numPr>
      </w:pPr>
      <w:r>
        <w:t xml:space="preserve">Does management maintain its full-year GAAP gross-margin guidance of</w:t>
      </w:r>
      <w:r>
        <w:t xml:space="preserve"> </w:t>
      </w:r>
      <w:r>
        <w:rPr>
          <w:b/>
          <w:bCs/>
        </w:rPr>
        <w:t xml:space="preserve">77%–78%</w:t>
      </w:r>
      <w:r>
        <w:t xml:space="preserve"> </w:t>
      </w:r>
      <w:r>
        <w:t xml:space="preserve">and non-GAAP guidance of</w:t>
      </w:r>
      <w:r>
        <w:t xml:space="preserve"> </w:t>
      </w:r>
      <w:r>
        <w:rPr>
          <w:b/>
          <w:bCs/>
        </w:rPr>
        <w:t xml:space="preserve">83%–84%</w:t>
      </w:r>
      <w:r>
        <w:t xml:space="preserve">?</w:t>
      </w:r>
    </w:p>
    <w:p>
      <w:pPr>
        <w:pStyle w:val="FirstParagraph"/>
      </w:pPr>
      <w:r>
        <w:t xml:space="preserve">A confirmation that the disruption is contained would support the case for improved GAAP margins in the second half. Any delay would be a meaningful negative because it would compound the EYLEA transition issue.</w:t>
      </w:r>
    </w:p>
    <w:p>
      <w:r>
        <w:pict>
          <v:rect style="width:0;height:1.5pt" o:hralign="center" o:hrstd="t" o:hr="t"/>
        </w:pict>
      </w:r>
    </w:p>
    <w:bookmarkEnd w:id="16"/>
    <w:bookmarkEnd w:id="17"/>
    <w:bookmarkStart w:id="22" w:name="Xafd4a4129e7b8df0635fdf48cff6fb0db6ea254"/>
    <w:p>
      <w:pPr>
        <w:pStyle w:val="Heading2"/>
      </w:pPr>
      <w:r>
        <w:t xml:space="preserve">The pipeline: fianlimab is now a negative, but upcoming regulatory events provide offsets</w:t>
      </w:r>
    </w:p>
    <w:bookmarkStart w:id="18" w:name="Xa7ffbf5945bb4cf10ac036c3c24bf07ace7cacf"/>
    <w:p>
      <w:pPr>
        <w:pStyle w:val="Heading3"/>
      </w:pPr>
      <w:r>
        <w:t xml:space="preserve">Fianlimab materially changed the narrative</w:t>
      </w:r>
    </w:p>
    <w:p>
      <w:pPr>
        <w:pStyle w:val="FirstParagraph"/>
      </w:pPr>
      <w:r>
        <w:t xml:space="preserve">The major negative event since the 1Q call was the Phase 3 failure of fianlimab plus Libtayo in first-line unresectable or metastatic melanoma. The study did</w:t>
      </w:r>
      <w:r>
        <w:t xml:space="preserve"> </w:t>
      </w:r>
      <w:r>
        <w:rPr>
          <w:b/>
          <w:bCs/>
        </w:rPr>
        <w:t xml:space="preserve">not</w:t>
      </w:r>
      <w:r>
        <w:t xml:space="preserve"> </w:t>
      </w:r>
      <w:r>
        <w:t xml:space="preserve">meet its primary progression-free-survival endpoint versus pembrolizumab; high-dose fianlimab plus cemiplimab produced a numerically longer median PFS of</w:t>
      </w:r>
      <w:r>
        <w:t xml:space="preserve"> </w:t>
      </w:r>
      <w:r>
        <w:rPr>
          <w:b/>
          <w:bCs/>
        </w:rPr>
        <w:t xml:space="preserve">11.5 months versus 6.4 months</w:t>
      </w:r>
      <w:r>
        <w:t xml:space="preserve">, but the hazard ratio of</w:t>
      </w:r>
      <w:r>
        <w:t xml:space="preserve"> </w:t>
      </w:r>
      <w:r>
        <w:rPr>
          <w:b/>
          <w:bCs/>
        </w:rPr>
        <w:t xml:space="preserve">0.845</w:t>
      </w:r>
      <w:r>
        <w:t xml:space="preserve"> </w:t>
      </w:r>
      <w:r>
        <w:t xml:space="preserve">and p-value of</w:t>
      </w:r>
      <w:r>
        <w:t xml:space="preserve"> </w:t>
      </w:r>
      <w:r>
        <w:rPr>
          <w:b/>
          <w:bCs/>
        </w:rPr>
        <w:t xml:space="preserve">0.0627</w:t>
      </w:r>
      <w:r>
        <w:t xml:space="preserve"> </w:t>
      </w:r>
      <w:r>
        <w:t xml:space="preserve">did not reach statistical significance. No new safety signal was identified. (</w:t>
      </w:r>
      <w:hyperlink r:id="rId14">
        <w:r>
          <w:rPr>
            <w:rStyle w:val="Hyperlink"/>
          </w:rPr>
          <w:t xml:space="preserve">investor.regeneron.com</w:t>
        </w:r>
      </w:hyperlink>
      <w:r>
        <w:t xml:space="preserve">)</w:t>
      </w:r>
    </w:p>
    <w:p>
      <w:pPr>
        <w:pStyle w:val="BodyText"/>
      </w:pPr>
      <w:r>
        <w:t xml:space="preserve">This removes what had been an important near-term oncology upside catalyst. The call should clarify:</w:t>
      </w:r>
    </w:p>
    <w:p>
      <w:pPr>
        <w:pStyle w:val="Compact"/>
        <w:numPr>
          <w:ilvl w:val="0"/>
          <w:numId w:val="1006"/>
        </w:numPr>
      </w:pPr>
      <w:r>
        <w:t xml:space="preserve">Whether the ongoing fianlimab-versus-Opdualag melanoma trial remains strategically justified.</w:t>
      </w:r>
    </w:p>
    <w:p>
      <w:pPr>
        <w:pStyle w:val="Compact"/>
        <w:numPr>
          <w:ilvl w:val="0"/>
          <w:numId w:val="1006"/>
        </w:numPr>
      </w:pPr>
      <w:r>
        <w:t xml:space="preserve">The implications for other fianlimab programs, including adjuvant melanoma.</w:t>
      </w:r>
    </w:p>
    <w:p>
      <w:pPr>
        <w:pStyle w:val="Compact"/>
        <w:numPr>
          <w:ilvl w:val="0"/>
          <w:numId w:val="1006"/>
        </w:numPr>
      </w:pPr>
      <w:r>
        <w:t xml:space="preserve">Whether Regeneron changes the expected commercial contribution from fianlimab in its long-range pipeline framing.</w:t>
      </w:r>
    </w:p>
    <w:bookmarkEnd w:id="18"/>
    <w:bookmarkStart w:id="21" w:name="Xcfe308572d50d09f6b0abb03f6ae13ab62a6b31"/>
    <w:p>
      <w:pPr>
        <w:pStyle w:val="Heading3"/>
      </w:pPr>
      <w:r>
        <w:t xml:space="preserve">Near-term offsets: garetosmab and cemdisiran</w:t>
      </w:r>
    </w:p>
    <w:p>
      <w:pPr>
        <w:pStyle w:val="FirstParagraph"/>
      </w:pPr>
      <w:r>
        <w:t xml:space="preserve">Two upcoming regulatory events are more constructive:</w:t>
      </w:r>
    </w:p>
    <w:p>
      <w:pPr>
        <w:pStyle w:val="Compact"/>
        <w:numPr>
          <w:ilvl w:val="0"/>
          <w:numId w:val="1007"/>
        </w:numPr>
      </w:pPr>
      <w:r>
        <w:rPr>
          <w:b/>
          <w:bCs/>
        </w:rPr>
        <w:t xml:space="preserve">Garetosmab in fibrodysplasia ossificans progressiva:</w:t>
      </w:r>
      <w:r>
        <w:t xml:space="preserve"> </w:t>
      </w:r>
      <w:r>
        <w:t xml:space="preserve">FDA Priority Review action date is in</w:t>
      </w:r>
      <w:r>
        <w:t xml:space="preserve"> </w:t>
      </w:r>
      <w:r>
        <w:rPr>
          <w:b/>
          <w:bCs/>
        </w:rPr>
        <w:t xml:space="preserve">August 2026</w:t>
      </w:r>
      <w:r>
        <w:t xml:space="preserve">. (</w:t>
      </w:r>
      <w:hyperlink r:id="rId19">
        <w:r>
          <w:rPr>
            <w:rStyle w:val="Hyperlink"/>
          </w:rPr>
          <w:t xml:space="preserve">investor.regeneron.com</w:t>
        </w:r>
      </w:hyperlink>
      <w:r>
        <w:t xml:space="preserve">)</w:t>
      </w:r>
    </w:p>
    <w:p>
      <w:pPr>
        <w:pStyle w:val="Compact"/>
        <w:numPr>
          <w:ilvl w:val="0"/>
          <w:numId w:val="1007"/>
        </w:numPr>
      </w:pPr>
      <w:r>
        <w:rPr>
          <w:b/>
          <w:bCs/>
        </w:rPr>
        <w:t xml:space="preserve">Cemdisiran in generalized myasthenia gravis:</w:t>
      </w:r>
      <w:r>
        <w:t xml:space="preserve"> </w:t>
      </w:r>
      <w:r>
        <w:t xml:space="preserve">the FDA accepted the NDA under Priority Review, with a target action date in</w:t>
      </w:r>
      <w:r>
        <w:t xml:space="preserve"> </w:t>
      </w:r>
      <w:r>
        <w:rPr>
          <w:b/>
          <w:bCs/>
        </w:rPr>
        <w:t xml:space="preserve">November 2026</w:t>
      </w:r>
      <w:r>
        <w:t xml:space="preserve">. Regeneron positions it as a potential first siRNA therapy for gMG and the only potential subcutaneous therapy dosed four times annually. (</w:t>
      </w:r>
      <w:hyperlink r:id="rId20">
        <w:r>
          <w:rPr>
            <w:rStyle w:val="Hyperlink"/>
          </w:rPr>
          <w:t xml:space="preserve">investor.regeneron.com</w:t>
        </w:r>
      </w:hyperlink>
      <w:r>
        <w:t xml:space="preserve">)</w:t>
      </w:r>
    </w:p>
    <w:p>
      <w:pPr>
        <w:pStyle w:val="FirstParagraph"/>
      </w:pPr>
      <w:r>
        <w:t xml:space="preserve">Neither is likely to replace the forgone fianlimab opportunity immediately, but positive execution would validate Regeneron’s complement and rare-disease pipeline and create more credible 2027 launch optionality.</w:t>
      </w:r>
    </w:p>
    <w:p>
      <w:r>
        <w:pict>
          <v:rect style="width:0;height:1.5pt" o:hralign="center" o:hrstd="t" o:hr="t"/>
        </w:pict>
      </w:r>
    </w:p>
    <w:bookmarkEnd w:id="21"/>
    <w:bookmarkEnd w:id="22"/>
    <w:bookmarkStart w:id="23" w:name="financial-context-and-comparison-base"/>
    <w:p>
      <w:pPr>
        <w:pStyle w:val="Heading2"/>
      </w:pPr>
      <w:r>
        <w:t xml:space="preserve">Financial context and comparison base</w:t>
      </w:r>
    </w:p>
    <w:p>
      <w:pPr>
        <w:pStyle w:val="FirstParagraph"/>
      </w:pPr>
      <w:r>
        <w:t xml:space="preserve">For perspective, 2Q25 revenue was</w:t>
      </w:r>
      <w:r>
        <w:t xml:space="preserve"> </w:t>
      </w:r>
      <m:oMath>
        <m:r>
          <m:t>3.68</m:t>
        </m:r>
        <m:r>
          <m:t>b</m:t>
        </m:r>
        <m:r>
          <m:t>i</m:t>
        </m:r>
        <m:r>
          <m:t>l</m:t>
        </m:r>
        <m:r>
          <m:t>l</m:t>
        </m:r>
        <m:r>
          <m:t>i</m:t>
        </m:r>
        <m:r>
          <m:t>o</m:t>
        </m:r>
        <m:r>
          <m:t>n</m:t>
        </m:r>
        <m:r>
          <m:rPr>
            <m:sty m:val="p"/>
          </m:rPr>
          <m:t>*</m:t>
        </m:r>
        <m:r>
          <m:rPr>
            <m:sty m:val="p"/>
          </m:rPr>
          <m:t>*</m:t>
        </m:r>
        <m:r>
          <m:t>a</m:t>
        </m:r>
        <m:r>
          <m:t>n</m:t>
        </m:r>
        <m:r>
          <m:t>d</m:t>
        </m:r>
        <m:r>
          <m:t>n</m:t>
        </m:r>
        <m:r>
          <m:t>o</m:t>
        </m:r>
        <m:r>
          <m:t>n</m:t>
        </m:r>
        <m:r>
          <m:rPr>
            <m:sty m:val="p"/>
          </m:rPr>
          <m:t>−</m:t>
        </m:r>
        <m:r>
          <m:t>G</m:t>
        </m:r>
        <m:r>
          <m:t>A</m:t>
        </m:r>
        <m:r>
          <m:t>A</m:t>
        </m:r>
        <m:r>
          <m:t>P</m:t>
        </m:r>
        <m:r>
          <m:t>E</m:t>
        </m:r>
        <m:r>
          <m:t>P</m:t>
        </m:r>
        <m:r>
          <m:t>S</m:t>
        </m:r>
        <m:r>
          <m:t>w</m:t>
        </m:r>
        <m:r>
          <m:t>a</m:t>
        </m:r>
        <m:r>
          <m:t>s</m:t>
        </m:r>
        <m:r>
          <m:rPr>
            <m:sty m:val="p"/>
          </m:rPr>
          <m:t>*</m:t>
        </m:r>
        <m:r>
          <m:rPr>
            <m:sty m:val="p"/>
          </m:rPr>
          <m:t>*</m:t>
        </m:r>
      </m:oMath>
      <w:r>
        <w:rPr>
          <w:b/>
          <w:bCs/>
        </w:rPr>
        <w:t xml:space="preserve">12.89</w:t>
      </w:r>
      <w:r>
        <w:t xml:space="preserve">. That quarter included:</w:t>
      </w:r>
    </w:p>
    <w:p>
      <w:pPr>
        <w:pStyle w:val="Compact"/>
        <w:numPr>
          <w:ilvl w:val="0"/>
          <w:numId w:val="1008"/>
        </w:numPr>
      </w:pPr>
      <w:r>
        <w:t xml:space="preserve">Global Dupixent sales of</w:t>
      </w:r>
      <w:r>
        <w:t xml:space="preserve"> </w:t>
      </w:r>
      <w:r>
        <w:rPr>
          <w:b/>
          <w:bCs/>
        </w:rPr>
        <w:t xml:space="preserve">$4.34 billion</w:t>
      </w:r>
      <w:r>
        <w:t xml:space="preserve">;</w:t>
      </w:r>
    </w:p>
    <w:p>
      <w:pPr>
        <w:pStyle w:val="Compact"/>
        <w:numPr>
          <w:ilvl w:val="0"/>
          <w:numId w:val="1008"/>
        </w:numPr>
      </w:pPr>
      <w:r>
        <w:t xml:space="preserve">U.S. EYLEA HD sales of</w:t>
      </w:r>
      <w:r>
        <w:t xml:space="preserve"> </w:t>
      </w:r>
      <w:r>
        <w:rPr>
          <w:b/>
          <w:bCs/>
        </w:rPr>
        <w:t xml:space="preserve">$393 million</w:t>
      </w:r>
      <w:r>
        <w:t xml:space="preserve">;</w:t>
      </w:r>
    </w:p>
    <w:p>
      <w:pPr>
        <w:pStyle w:val="Compact"/>
        <w:numPr>
          <w:ilvl w:val="0"/>
          <w:numId w:val="1008"/>
        </w:numPr>
      </w:pPr>
      <w:r>
        <w:t xml:space="preserve">Combined U.S. EYLEA franchise sales of</w:t>
      </w:r>
      <w:r>
        <w:t xml:space="preserve"> </w:t>
      </w:r>
      <w:r>
        <w:rPr>
          <w:b/>
          <w:bCs/>
        </w:rPr>
        <w:t xml:space="preserve">$1.15 billion</w:t>
      </w:r>
      <w:r>
        <w:t xml:space="preserve">;</w:t>
      </w:r>
    </w:p>
    <w:p>
      <w:pPr>
        <w:pStyle w:val="Compact"/>
        <w:numPr>
          <w:ilvl w:val="0"/>
          <w:numId w:val="1008"/>
        </w:numPr>
      </w:pPr>
      <w:r>
        <w:t xml:space="preserve">Global Libtayo sales of</w:t>
      </w:r>
      <w:r>
        <w:t xml:space="preserve"> </w:t>
      </w:r>
      <w:r>
        <w:rPr>
          <w:b/>
          <w:bCs/>
        </w:rPr>
        <w:t xml:space="preserve">$377 million</w:t>
      </w:r>
      <w:r>
        <w:t xml:space="preserve">.</w:t>
      </w:r>
    </w:p>
    <w:p>
      <w:pPr>
        <w:pStyle w:val="FirstParagraph"/>
      </w:pPr>
      <w:r>
        <w:t xml:space="preserve">The year-over-year comparison should favor revenue growth from Dupixent, Libtayo, and EYLEA HD, but 2Q26 earnings will face a less favorable mix due to the manufacturing charge and the disclosed IPR&amp;D expense.</w:t>
      </w:r>
    </w:p>
    <w:p>
      <w:r>
        <w:pict>
          <v:rect style="width:0;height:1.5pt" o:hralign="center" o:hrstd="t" o:hr="t"/>
        </w:pict>
      </w:r>
    </w:p>
    <w:bookmarkEnd w:id="23"/>
    <w:bookmarkStart w:id="24" w:name="what-could-drive-upside"/>
    <w:p>
      <w:pPr>
        <w:pStyle w:val="Heading2"/>
      </w:pPr>
      <w:r>
        <w:t xml:space="preserve">What could drive upside</w:t>
      </w:r>
    </w:p>
    <w:p>
      <w:pPr>
        <w:pStyle w:val="Compact"/>
        <w:numPr>
          <w:ilvl w:val="0"/>
          <w:numId w:val="1009"/>
        </w:numPr>
      </w:pPr>
      <w:r>
        <w:rPr>
          <w:b/>
          <w:bCs/>
        </w:rPr>
        <w:t xml:space="preserve">Another outsized Dupixent quarter</w:t>
      </w:r>
      <w:r>
        <w:t xml:space="preserve"> </w:t>
      </w:r>
      <w:r>
        <w:t xml:space="preserve">with resilient demand across core and newer indications.</w:t>
      </w:r>
    </w:p>
    <w:p>
      <w:pPr>
        <w:pStyle w:val="Compact"/>
        <w:numPr>
          <w:ilvl w:val="0"/>
          <w:numId w:val="1009"/>
        </w:numPr>
      </w:pPr>
      <w:r>
        <w:rPr>
          <w:b/>
          <w:bCs/>
        </w:rPr>
        <w:t xml:space="preserve">EYLEA HD demand above the guided ~10% sequential trajectory</w:t>
      </w:r>
      <w:r>
        <w:t xml:space="preserve">, particularly if the product mix shifts more rapidly toward HD.</w:t>
      </w:r>
    </w:p>
    <w:p>
      <w:pPr>
        <w:pStyle w:val="Compact"/>
        <w:numPr>
          <w:ilvl w:val="0"/>
          <w:numId w:val="1009"/>
        </w:numPr>
      </w:pPr>
      <w:r>
        <w:rPr>
          <w:b/>
          <w:bCs/>
        </w:rPr>
        <w:t xml:space="preserve">Better-than-feared gross-margin performance</w:t>
      </w:r>
      <w:r>
        <w:t xml:space="preserve">, implying the Limerick disruption was largely resolved before quarter-end.</w:t>
      </w:r>
    </w:p>
    <w:p>
      <w:pPr>
        <w:pStyle w:val="Compact"/>
        <w:numPr>
          <w:ilvl w:val="0"/>
          <w:numId w:val="1009"/>
        </w:numPr>
      </w:pPr>
      <w:r>
        <w:rPr>
          <w:b/>
          <w:bCs/>
        </w:rPr>
        <w:t xml:space="preserve">Raised or reaffirmed 2026 operating guidance</w:t>
      </w:r>
      <w:r>
        <w:t xml:space="preserve">, particularly margins and R&amp;D discipline.</w:t>
      </w:r>
    </w:p>
    <w:p>
      <w:pPr>
        <w:pStyle w:val="Compact"/>
        <w:numPr>
          <w:ilvl w:val="0"/>
          <w:numId w:val="1009"/>
        </w:numPr>
      </w:pPr>
      <w:r>
        <w:t xml:space="preserve">A clear explanation of the IPR&amp;D spending that suggests high-quality external innovation rather than unstructured deal activity.</w:t>
      </w:r>
    </w:p>
    <w:p>
      <w:pPr>
        <w:pStyle w:val="Compact"/>
        <w:numPr>
          <w:ilvl w:val="0"/>
          <w:numId w:val="1009"/>
        </w:numPr>
      </w:pPr>
      <w:r>
        <w:t xml:space="preserve">Constructive updates on garetosmab, cemdisiran, Lynozyfic, Factor XI, and obesity programs.</w:t>
      </w:r>
    </w:p>
    <w:bookmarkEnd w:id="24"/>
    <w:bookmarkStart w:id="25" w:name="what-could-disappoint"/>
    <w:p>
      <w:pPr>
        <w:pStyle w:val="Heading2"/>
      </w:pPr>
      <w:r>
        <w:t xml:space="preserve">What could disappoint</w:t>
      </w:r>
    </w:p>
    <w:p>
      <w:pPr>
        <w:pStyle w:val="Compact"/>
        <w:numPr>
          <w:ilvl w:val="0"/>
          <w:numId w:val="1010"/>
        </w:numPr>
      </w:pPr>
      <w:r>
        <w:t xml:space="preserve">Weak EYLEA HD unit demand, deeper-than-expected legacy EYLEA erosion, or worsening price/reimbursement pressure.</w:t>
      </w:r>
    </w:p>
    <w:p>
      <w:pPr>
        <w:pStyle w:val="Compact"/>
        <w:numPr>
          <w:ilvl w:val="0"/>
          <w:numId w:val="1010"/>
        </w:numPr>
      </w:pPr>
      <w:r>
        <w:t xml:space="preserve">An EYLEA HD prefilled-syringe delay without a credible new timeline.</w:t>
      </w:r>
    </w:p>
    <w:p>
      <w:pPr>
        <w:pStyle w:val="Compact"/>
        <w:numPr>
          <w:ilvl w:val="0"/>
          <w:numId w:val="1010"/>
        </w:numPr>
      </w:pPr>
      <w:r>
        <w:t xml:space="preserve">Gross-margin pressure that persists into 3Q or a reduction in full-year margin guidance.</w:t>
      </w:r>
    </w:p>
    <w:p>
      <w:pPr>
        <w:pStyle w:val="Compact"/>
        <w:numPr>
          <w:ilvl w:val="0"/>
          <w:numId w:val="1010"/>
        </w:numPr>
      </w:pPr>
      <w:r>
        <w:t xml:space="preserve">Dupixent growth deceleration or weaker Sanofi collaboration profitability.</w:t>
      </w:r>
    </w:p>
    <w:p>
      <w:pPr>
        <w:pStyle w:val="Compact"/>
        <w:numPr>
          <w:ilvl w:val="0"/>
          <w:numId w:val="1010"/>
        </w:numPr>
      </w:pPr>
      <w:r>
        <w:t xml:space="preserve">Further de-emphasis of fianlimab without a convincing reallocation of R&amp;D resources.</w:t>
      </w:r>
    </w:p>
    <w:p>
      <w:pPr>
        <w:pStyle w:val="Compact"/>
        <w:numPr>
          <w:ilvl w:val="0"/>
          <w:numId w:val="1010"/>
        </w:numPr>
      </w:pPr>
      <w:r>
        <w:t xml:space="preserve">Larger-than-expected recurring IPR&amp;D or business-development expense following the disclosed 2Q charge.</w:t>
      </w:r>
    </w:p>
    <w:p>
      <w:r>
        <w:pict>
          <v:rect style="width:0;height:1.5pt" o:hralign="center" o:hrstd="t" o:hr="t"/>
        </w:pict>
      </w:r>
    </w:p>
    <w:bookmarkEnd w:id="25"/>
    <w:bookmarkStart w:id="26" w:name="bottom-line"/>
    <w:p>
      <w:pPr>
        <w:pStyle w:val="Heading2"/>
      </w:pPr>
      <w:r>
        <w:t xml:space="preserve">Bottom line</w:t>
      </w:r>
    </w:p>
    <w:p>
      <w:pPr>
        <w:pStyle w:val="FirstParagraph"/>
      </w:pPr>
      <w:r>
        <w:rPr>
          <w:b/>
          <w:bCs/>
        </w:rPr>
        <w:t xml:space="preserve">REGN’s 2Q26 report is primarily a test of commercial resilience after a pipeline setback.</w:t>
      </w:r>
      <w:r>
        <w:t xml:space="preserve"> </w:t>
      </w:r>
      <w:r>
        <w:t xml:space="preserve">Dupixent should remain the principal source of upside, while EYLEA HD conversion, margin normalization, and the cadence of collaboration-profit recognition will determine whether that growth converts into better second-half earnings power.</w:t>
      </w:r>
    </w:p>
    <w:p>
      <w:pPr>
        <w:pStyle w:val="BodyText"/>
      </w:pPr>
      <w:r>
        <w:t xml:space="preserve">The headline EPS result may be noisy because management has already telegraphed a roughly</w:t>
      </w:r>
      <w:r>
        <w:t xml:space="preserve"> </w:t>
      </w:r>
      <w:r>
        <w:rPr>
          <w:b/>
          <w:bCs/>
        </w:rPr>
        <w:t xml:space="preserve">$1.00 per-share IPR&amp;D impact</w:t>
      </w:r>
      <w:r>
        <w:t xml:space="preserve">. A constructive report would show continued strong Dupixent growth, healthy EYLEA HD demand despite expected legacy-franchise pressure, confirmation that manufacturing costs are rolling off, and a credible path to pipeline value creation following fianlimab’s failure.</w:t>
      </w:r>
    </w:p>
    <w:bookmarkEnd w:id="26"/>
    <w:bookmarkEnd w:id="2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20" Target="https://investor.regeneron.com/news-releases/news-release-details/cemdisiran-regulatory-submissions-accepted-review-fda-and-ema?utm_source=openai" TargetMode="External" /><Relationship Type="http://schemas.openxmlformats.org/officeDocument/2006/relationships/hyperlink" Id="rId19" Target="https://investor.regeneron.com/news-releases/news-release-details/garetosmab-biologics-license-application-accepted-fda-priority/?utm_source=openai" TargetMode="External" /><Relationship Type="http://schemas.openxmlformats.org/officeDocument/2006/relationships/hyperlink" Id="rId14" Target="https://investor.regeneron.com/news-releases/news-release-details/regeneron-provides-update-phase-3-trial-fianlimab-lag-3" TargetMode="External" /><Relationship Type="http://schemas.openxmlformats.org/officeDocument/2006/relationships/hyperlink" Id="rId9" Target="https://investor.regeneron.com/news-releases/news-release-details/regeneron-report-second-quarter-2026-financial-and-operating?utm_source=openai" TargetMode="External" /><Relationship Type="http://schemas.openxmlformats.org/officeDocument/2006/relationships/hyperlink" Id="rId11" Target="https://investor.regeneron.com/news-releases/news-release-details/regeneron-reports-first-quarter-2026-financial-and-operating/?utm_source=openai" TargetMode="External" /></Relationships>
</file>

<file path=word/_rels/footnotes.xml.rels><?xml version="1.0" encoding="UTF-8"?><Relationships xmlns="http://schemas.openxmlformats.org/package/2006/relationships"><Relationship Type="http://schemas.openxmlformats.org/officeDocument/2006/relationships/hyperlink" Id="rId20" Target="https://investor.regeneron.com/news-releases/news-release-details/cemdisiran-regulatory-submissions-accepted-review-fda-and-ema?utm_source=openai" TargetMode="External" /><Relationship Type="http://schemas.openxmlformats.org/officeDocument/2006/relationships/hyperlink" Id="rId19" Target="https://investor.regeneron.com/news-releases/news-release-details/garetosmab-biologics-license-application-accepted-fda-priority/?utm_source=openai" TargetMode="External" /><Relationship Type="http://schemas.openxmlformats.org/officeDocument/2006/relationships/hyperlink" Id="rId14" Target="https://investor.regeneron.com/news-releases/news-release-details/regeneron-provides-update-phase-3-trial-fianlimab-lag-3" TargetMode="External" /><Relationship Type="http://schemas.openxmlformats.org/officeDocument/2006/relationships/hyperlink" Id="rId9" Target="https://investor.regeneron.com/news-releases/news-release-details/regeneron-report-second-quarter-2026-financial-and-operating?utm_source=openai" TargetMode="External" /><Relationship Type="http://schemas.openxmlformats.org/officeDocument/2006/relationships/hyperlink" Id="rId11" Target="https://investor.regeneron.com/news-releases/news-release-details/regeneron-reports-first-quarter-2026-financial-and-operating/?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2026-07-29T18:06:40Z</dcterms:created>
  <dcterms:modified xsi:type="dcterms:W3CDTF">2026-07-29T18:06:40Z</dcterms:modified>
</cp:coreProperties>
</file>

<file path=docProps/custom.xml><?xml version="1.0" encoding="utf-8"?>
<Properties xmlns="http://schemas.openxmlformats.org/officeDocument/2006/custom-properties" xmlns:vt="http://schemas.openxmlformats.org/officeDocument/2006/docPropsVTypes"/>
</file>