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SBAC (SBA Communications) before writing the preview. Let me gather recent earnings materials, filings, and news.Let me read the most recent earnings materials (Q1 2026) and the prior quarter to understand guidance and trends.I have strong Q1 2026 detail. Now let me get the recent debt refinancing details, stock price performance, and any latest news/analyst commentary.I have strong fundamentals. Let me check consensus expectations and the latest analyst/EchoStar context via web search.Let me read the Zacks Q2 preview for consensus estimates.I have enough. Let me get the Q2 revenue consensus figure and any recent price target actions quickly.I now have everything I need. Here's the earnings preview.</w:t>
      </w:r>
    </w:p>
    <w:p>
      <w:r>
        <w:pict>
          <v:rect style="width:0;height:1.5pt" o:hralign="center" o:hrstd="t" o:hr="t"/>
        </w:pict>
      </w:r>
    </w:p>
    <w:bookmarkStart w:id="22" w:name="X591c976653a23b5c59d259d22c6831eb0412de2"/>
    <w:p>
      <w:pPr>
        <w:pStyle w:val="Heading1"/>
      </w:pPr>
      <w:r>
        <w:t xml:space="preserve">SBA Communications (SBAC) — Q2 2026 Earnings Preview</w:t>
      </w:r>
    </w:p>
    <w:bookmarkStart w:id="9" w:name="Xf5b341830ae8048adce2b4bb6ae03def3321e2f"/>
    <w:p>
      <w:pPr>
        <w:pStyle w:val="Heading3"/>
      </w:pPr>
      <w:r>
        <w:t xml:space="preserve">Reporting after market close, Monday, August 3, 2026 · Earnings call to follow</w:t>
      </w:r>
    </w:p>
    <w:p>
      <w:r>
        <w:pict>
          <v:rect style="width:0;height:1.5pt" o:hralign="center" o:hrstd="t" o:hr="t"/>
        </w:pict>
      </w:r>
    </w:p>
    <w:bookmarkEnd w:id="9"/>
    <w:bookmarkStart w:id="10" w:name="the-setup-in-one-line"/>
    <w:p>
      <w:pPr>
        <w:pStyle w:val="Heading2"/>
      </w:pPr>
      <w:r>
        <w:t xml:space="preserve">The setup in one line</w:t>
      </w:r>
    </w:p>
    <w:p>
      <w:pPr>
        <w:pStyle w:val="FirstParagraph"/>
      </w:pPr>
      <w:r>
        <w:t xml:space="preserve">SBAC heads into Q2 with a familiar tension:</w:t>
      </w:r>
      <w:r>
        <w:t xml:space="preserve"> </w:t>
      </w:r>
      <w:r>
        <w:rPr>
          <w:b/>
          <w:bCs/>
        </w:rPr>
        <w:t xml:space="preserve">consolidated revenue is still growing (led by international), but AFFO/share is set to decline year-over-year</w:t>
      </w:r>
      <w:r>
        <w:t xml:space="preserve"> </w:t>
      </w:r>
      <w:r>
        <w:t xml:space="preserve">as domestic carrier-consolidation churn and sharply higher interest expense weigh on the bottom line. Layer on a just-completed shift to an investment-grade-style unsecured capital structure and persistent private-equity takeout chatter, and this is a print where the qualitative commentary may matter as much as the numbers.</w:t>
      </w:r>
    </w:p>
    <w:p>
      <w:r>
        <w:pict>
          <v:rect style="width:0;height:1.5pt" o:hralign="center" o:hrstd="t" o:hr="t"/>
        </w:pict>
      </w:r>
    </w:p>
    <w:bookmarkEnd w:id="10"/>
    <w:bookmarkStart w:id="11" w:name="what-the-street-expects-consensus"/>
    <w:p>
      <w:pPr>
        <w:pStyle w:val="Heading2"/>
      </w:pPr>
      <w:r>
        <w:t xml:space="preserve">What the Street expects (consensus)</w:t>
      </w:r>
    </w:p>
    <w:p>
      <w:pPr>
        <w:pStyle w:val="Compact"/>
        <w:numPr>
          <w:ilvl w:val="0"/>
          <w:numId w:val="1001"/>
        </w:numPr>
      </w:pPr>
      <w:r>
        <w:rPr>
          <w:b/>
          <w:bCs/>
        </w:rPr>
        <w:t xml:space="preserve">AFFO per share: ~</w:t>
      </w:r>
      <m:oMath>
        <m:r>
          <m:t>2.96</m:t>
        </m:r>
        <m:r>
          <m:rPr>
            <m:sty m:val="p"/>
          </m:rPr>
          <m:t>*</m:t>
        </m:r>
        <m:r>
          <m:rPr>
            <m:sty m:val="p"/>
          </m:rPr>
          <m:t>*</m:t>
        </m:r>
        <m:r>
          <m:rPr>
            <m:sty m:val="p"/>
          </m:rPr>
          <m:t>—</m:t>
        </m:r>
        <m:r>
          <m:t>d</m:t>
        </m:r>
        <m:r>
          <m:t>o</m:t>
        </m:r>
        <m:r>
          <m:t>w</m:t>
        </m:r>
        <m:r>
          <m:t>n</m:t>
        </m:r>
        <m:r>
          <m:t>f</m:t>
        </m:r>
        <m:r>
          <m:t>r</m:t>
        </m:r>
        <m:r>
          <m:t>o</m:t>
        </m:r>
        <m:r>
          <m:t>m</m:t>
        </m:r>
        <m:r>
          <m:rPr>
            <m:sty m:val="p"/>
          </m:rPr>
          <m:t>*</m:t>
        </m:r>
        <m:r>
          <m:rPr>
            <m:sty m:val="p"/>
          </m:rPr>
          <m:t>*</m:t>
        </m:r>
      </m:oMath>
      <w:r>
        <w:rPr>
          <w:b/>
          <w:bCs/>
        </w:rPr>
        <w:t xml:space="preserve">3.17</w:t>
      </w:r>
      <w:r>
        <w:t xml:space="preserve"> </w:t>
      </w:r>
      <w:r>
        <w:t xml:space="preserve">in Q2 2025. Note SBAC printed</w:t>
      </w:r>
      <w:r>
        <w:t xml:space="preserve"> </w:t>
      </w:r>
      <m:oMath>
        <m:r>
          <m:t>3.03</m:t>
        </m:r>
        <m:r>
          <m:rPr>
            <m:sty m:val="p"/>
          </m:rPr>
          <m:t>/</m:t>
        </m:r>
      </m:oMath>
      <w:r>
        <w:rPr>
          <w:b/>
          <w:bCs/>
        </w:rPr>
        <w:t xml:space="preserve">3.01</w:t>
      </w:r>
      <w:r>
        <w:t xml:space="preserve"> </w:t>
      </w:r>
      <w:r>
        <w:t xml:space="preserve">last quarter, so consensus implies a sequential step-down.</w:t>
      </w:r>
    </w:p>
    <w:p>
      <w:pPr>
        <w:pStyle w:val="Compact"/>
        <w:numPr>
          <w:ilvl w:val="0"/>
          <w:numId w:val="1001"/>
        </w:numPr>
      </w:pPr>
      <w:r>
        <w:rPr>
          <w:b/>
          <w:bCs/>
        </w:rPr>
        <w:t xml:space="preserve">Total revenue: ~$703M</w:t>
      </w:r>
      <w:r>
        <w:t xml:space="preserve"> </w:t>
      </w:r>
      <w:r>
        <w:t xml:space="preserve">(~+0.6% YoY)</w:t>
      </w:r>
    </w:p>
    <w:p>
      <w:pPr>
        <w:pStyle w:val="Compact"/>
        <w:numPr>
          <w:ilvl w:val="0"/>
          <w:numId w:val="1001"/>
        </w:numPr>
      </w:pPr>
      <w:r>
        <w:rPr>
          <w:b/>
          <w:bCs/>
        </w:rPr>
        <w:t xml:space="preserve">Site-leasing revenue: ~$658M</w:t>
      </w:r>
      <w:r>
        <w:t xml:space="preserve"> </w:t>
      </w:r>
      <w:r>
        <w:t xml:space="preserve">vs. $631.8M a year ago</w:t>
      </w:r>
    </w:p>
    <w:p>
      <w:pPr>
        <w:pStyle w:val="Compact"/>
        <w:numPr>
          <w:ilvl w:val="0"/>
          <w:numId w:val="1001"/>
        </w:numPr>
      </w:pPr>
      <w:r>
        <w:t xml:space="preserve">SBAC has beaten AFFO consensus in three of the last four quarters (avg. beat ~2%); last quarter it topped the $2.86 estimate by ~5%. Zacks' model, however, flags</w:t>
      </w:r>
      <w:r>
        <w:t xml:space="preserve"> </w:t>
      </w:r>
      <w:r>
        <w:rPr>
          <w:b/>
          <w:bCs/>
        </w:rPr>
        <w:t xml:space="preserve">no conclusive edge</w:t>
      </w:r>
      <w:r>
        <w:t xml:space="preserve"> </w:t>
      </w:r>
      <w:r>
        <w:t xml:space="preserve">for a beat this time (Zacks Rank #3, Earnings ESP 0.0%).</w:t>
      </w:r>
    </w:p>
    <w:p>
      <w:pPr>
        <w:pStyle w:val="FirstParagraph"/>
      </w:pPr>
      <w:r>
        <w:rPr>
          <w:i/>
          <w:iCs/>
        </w:rPr>
        <w:t xml:space="preserve">(Consensus figures per Zacks/press coverage.)</w:t>
      </w:r>
    </w:p>
    <w:p>
      <w:r>
        <w:pict>
          <v:rect style="width:0;height:1.5pt" o:hralign="center" o:hrstd="t" o:hr="t"/>
        </w:pict>
      </w:r>
    </w:p>
    <w:bookmarkEnd w:id="11"/>
    <w:bookmarkStart w:id="12" w:name="X85155016e438b8bfc660d277756377e0f9f8306"/>
    <w:p>
      <w:pPr>
        <w:pStyle w:val="Heading2"/>
      </w:pPr>
      <w:r>
        <w:t xml:space="preserve">Where the business stands (Q1 2026 recap = the jumping-off point)</w:t>
      </w:r>
    </w:p>
    <w:p>
      <w:pPr>
        <w:pStyle w:val="Compact"/>
        <w:numPr>
          <w:ilvl w:val="0"/>
          <w:numId w:val="1002"/>
        </w:numPr>
      </w:pPr>
      <w:r>
        <w:rPr>
          <w:b/>
          <w:bCs/>
        </w:rPr>
        <w:t xml:space="preserve">AFFO/share of $3.03</w:t>
      </w:r>
      <w:r>
        <w:t xml:space="preserve">, "industry-leading," on</w:t>
      </w:r>
      <w:r>
        <w:t xml:space="preserve"> </w:t>
      </w:r>
      <w:r>
        <w:rPr>
          <w:b/>
          <w:bCs/>
        </w:rPr>
        <w:t xml:space="preserve">site-leasing revenue of $656.1M (+6.5% YoY)</w:t>
      </w:r>
      <w:r>
        <w:t xml:space="preserve">.</w:t>
      </w:r>
    </w:p>
    <w:p>
      <w:pPr>
        <w:pStyle w:val="Compact"/>
        <w:numPr>
          <w:ilvl w:val="0"/>
          <w:numId w:val="1002"/>
        </w:numPr>
      </w:pPr>
      <w:r>
        <w:rPr>
          <w:b/>
          <w:bCs/>
        </w:rPr>
        <w:t xml:space="preserve">The domestic/international split is the whole story:</w:t>
      </w:r>
    </w:p>
    <w:p>
      <w:pPr>
        <w:pStyle w:val="Compact"/>
        <w:numPr>
          <w:ilvl w:val="1"/>
          <w:numId w:val="1003"/>
        </w:numPr>
      </w:pPr>
      <w:r>
        <w:rPr>
          <w:b/>
          <w:bCs/>
        </w:rPr>
        <w:t xml:space="preserve">Domestic site-leasing revenue fell ~2.3% YoY to $450.3M</w:t>
      </w:r>
      <w:r>
        <w:t xml:space="preserve"> </w:t>
      </w:r>
      <w:r>
        <w:t xml:space="preserve">— churn (Sprint + EchoStar) is outrunning gross new leasing.</w:t>
      </w:r>
    </w:p>
    <w:p>
      <w:pPr>
        <w:pStyle w:val="Compact"/>
        <w:numPr>
          <w:ilvl w:val="1"/>
          <w:numId w:val="1003"/>
        </w:numPr>
      </w:pPr>
      <w:r>
        <w:rPr>
          <w:b/>
          <w:bCs/>
        </w:rPr>
        <w:t xml:space="preserve">International surged +32.6% to $205.8M</w:t>
      </w:r>
      <w:r>
        <w:t xml:space="preserve"> </w:t>
      </w:r>
      <w:r>
        <w:t xml:space="preserve">(~+25% ex-FX), driven by the</w:t>
      </w:r>
      <w:r>
        <w:t xml:space="preserve"> </w:t>
      </w:r>
      <w:r>
        <w:rPr>
          <w:b/>
          <w:bCs/>
        </w:rPr>
        <w:t xml:space="preserve">Millicom acquisition</w:t>
      </w:r>
      <w:r>
        <w:t xml:space="preserve"> </w:t>
      </w:r>
      <w:r>
        <w:t xml:space="preserve">in Central America.</w:t>
      </w:r>
    </w:p>
    <w:p>
      <w:pPr>
        <w:pStyle w:val="Compact"/>
        <w:numPr>
          <w:ilvl w:val="0"/>
          <w:numId w:val="1002"/>
        </w:numPr>
      </w:pPr>
      <w:r>
        <w:rPr>
          <w:b/>
          <w:bCs/>
        </w:rPr>
        <w:t xml:space="preserve">Tower cash flow margin ~80%</w:t>
      </w:r>
      <w:r>
        <w:t xml:space="preserve">; Adjusted EBITDA margin ~68%.</w:t>
      </w:r>
    </w:p>
    <w:p>
      <w:pPr>
        <w:pStyle w:val="Compact"/>
        <w:numPr>
          <w:ilvl w:val="0"/>
          <w:numId w:val="1002"/>
        </w:numPr>
      </w:pPr>
      <w:r>
        <w:rPr>
          <w:b/>
          <w:bCs/>
        </w:rPr>
        <w:t xml:space="preserve">Net income of</w:t>
      </w:r>
      <w:r>
        <w:rPr>
          <w:b/>
          <w:bCs/>
        </w:rPr>
        <w:t xml:space="preserve"> </w:t>
      </w:r>
      <m:oMath>
        <m:r>
          <m:t>184.8</m:t>
        </m:r>
        <m:r>
          <m:t>M</m:t>
        </m:r>
        <m:r>
          <m:rPr>
            <m:sty m:val="p"/>
          </m:rPr>
          <m:t>(</m:t>
        </m:r>
      </m:oMath>
      <w:r>
        <w:rPr>
          <w:b/>
          <w:bCs/>
        </w:rPr>
        <w:t xml:space="preserve">1.74 EPS)</w:t>
      </w:r>
      <w:r>
        <w:t xml:space="preserve"> </w:t>
      </w:r>
      <w:r>
        <w:t xml:space="preserve">— but note EPS/AFFO were down YoY partly on</w:t>
      </w:r>
      <w:r>
        <w:t xml:space="preserve"> </w:t>
      </w:r>
      <w:r>
        <w:rPr>
          <w:b/>
          <w:bCs/>
        </w:rPr>
        <w:t xml:space="preserve">net cash interest expense jumping ~32% to $123M</w:t>
      </w:r>
      <w:r>
        <w:t xml:space="preserve">.</w:t>
      </w:r>
    </w:p>
    <w:p>
      <w:pPr>
        <w:pStyle w:val="Compact"/>
        <w:numPr>
          <w:ilvl w:val="0"/>
          <w:numId w:val="1002"/>
        </w:numPr>
      </w:pPr>
      <w:r>
        <w:rPr>
          <w:b/>
          <w:bCs/>
        </w:rPr>
        <w:t xml:space="preserve">Leverage 6.6x</w:t>
      </w:r>
      <w:r>
        <w:t xml:space="preserve"> </w:t>
      </w:r>
      <w:r>
        <w:t xml:space="preserve">net debt/EBITDA (mid-point of the revised 6–7x target);</w:t>
      </w:r>
      <w:r>
        <w:t xml:space="preserve"> </w:t>
      </w:r>
      <w:r>
        <w:rPr>
          <w:b/>
          <w:bCs/>
        </w:rPr>
        <w:t xml:space="preserve">dividend $1.25/share, +13% YoY</w:t>
      </w:r>
      <w:r>
        <w:t xml:space="preserve">, only ~41% of AFFO.</w:t>
      </w:r>
    </w:p>
    <w:p>
      <w:r>
        <w:pict>
          <v:rect style="width:0;height:1.5pt" o:hralign="center" o:hrstd="t" o:hr="t"/>
        </w:pict>
      </w:r>
    </w:p>
    <w:bookmarkEnd w:id="12"/>
    <w:bookmarkStart w:id="18" w:name="the-five-things-to-watch-on-august-3"/>
    <w:p>
      <w:pPr>
        <w:pStyle w:val="Heading2"/>
      </w:pPr>
      <w:r>
        <w:t xml:space="preserve">The five things to watch on August 3</w:t>
      </w:r>
    </w:p>
    <w:bookmarkStart w:id="13" w:name="Xa28f62550f58529fa3dd3071c178ae261b9286e"/>
    <w:p>
      <w:pPr>
        <w:pStyle w:val="Heading3"/>
      </w:pPr>
      <w:r>
        <w:t xml:space="preserve">1) Domestic leasing inflection — is the backlog translating to bookings?</w:t>
      </w:r>
    </w:p>
    <w:p>
      <w:pPr>
        <w:pStyle w:val="FirstParagraph"/>
      </w:pPr>
      <w:r>
        <w:t xml:space="preserve">This is the swing factor for the multi-year thesis. Management said domestic</w:t>
      </w:r>
      <w:r>
        <w:t xml:space="preserve"> </w:t>
      </w:r>
      <w:r>
        <w:rPr>
          <w:b/>
          <w:bCs/>
        </w:rPr>
        <w:t xml:space="preserve">backlogs rose from Dec to March</w:t>
      </w:r>
      <w:r>
        <w:t xml:space="preserve"> </w:t>
      </w:r>
      <w:r>
        <w:t xml:space="preserve">("replenishing faster than it's being used") and expects</w:t>
      </w:r>
      <w:r>
        <w:t xml:space="preserve"> </w:t>
      </w:r>
      <w:r>
        <w:rPr>
          <w:b/>
          <w:bCs/>
        </w:rPr>
        <w:t xml:space="preserve">"steady" activity</w:t>
      </w:r>
      <w:r>
        <w:t xml:space="preserve"> </w:t>
      </w:r>
      <w:r>
        <w:t xml:space="preserve">through 2026. Carriers are spending on</w:t>
      </w:r>
      <w:r>
        <w:t xml:space="preserve"> </w:t>
      </w:r>
      <w:r>
        <w:rPr>
          <w:b/>
          <w:bCs/>
        </w:rPr>
        <w:t xml:space="preserve">C-band, massive-MIMO upgrades, and fixed-wireless-access-driven densification</w:t>
      </w:r>
      <w:r>
        <w:t xml:space="preserve">, and SBAC noted a</w:t>
      </w:r>
      <w:r>
        <w:t xml:space="preserve"> </w:t>
      </w:r>
      <w:r>
        <w:rPr>
          <w:b/>
          <w:bCs/>
        </w:rPr>
        <w:t xml:space="preserve">recently signed master agreement</w:t>
      </w:r>
      <w:r>
        <w:t xml:space="preserve"> </w:t>
      </w:r>
      <w:r>
        <w:t xml:space="preserve">with one U.S. customer that was starting to lift activity.</w:t>
      </w:r>
      <w:r>
        <w:t xml:space="preserve"> </w:t>
      </w:r>
      <w:r>
        <w:rPr>
          <w:b/>
          <w:bCs/>
        </w:rPr>
        <w:t xml:space="preserve">Watch:</w:t>
      </w:r>
      <w:r>
        <w:t xml:space="preserve"> </w:t>
      </w:r>
      <w:r>
        <w:t xml:space="preserve">new domestic lease &amp; amendment billings added YoY (was ~$10M in Q1), commentary on whether all three big carriers are active, and any change to the "steady" 2026 characterization.</w:t>
      </w:r>
    </w:p>
    <w:bookmarkEnd w:id="13"/>
    <w:bookmarkStart w:id="14" w:name="Xa6aa073aecf774673a003640b3d5c5d267b7a8f"/>
    <w:p>
      <w:pPr>
        <w:pStyle w:val="Heading3"/>
      </w:pPr>
      <w:r>
        <w:t xml:space="preserve">2) Guidance: another raise, or does FX/rates give some back?</w:t>
      </w:r>
    </w:p>
    <w:p>
      <w:pPr>
        <w:pStyle w:val="FirstParagraph"/>
      </w:pPr>
      <w:r>
        <w:t xml:space="preserve">SBAC</w:t>
      </w:r>
      <w:r>
        <w:t xml:space="preserve"> </w:t>
      </w:r>
      <w:r>
        <w:rPr>
          <w:b/>
          <w:bCs/>
        </w:rPr>
        <w:t xml:space="preserve">raised full-year 2026 guidance across every metric</w:t>
      </w:r>
      <w:r>
        <w:t xml:space="preserve"> </w:t>
      </w:r>
      <w:r>
        <w:t xml:space="preserve">at Q1, helped by outperformance, straight-line revenue, and</w:t>
      </w:r>
      <w:r>
        <w:t xml:space="preserve"> </w:t>
      </w:r>
      <w:r>
        <w:rPr>
          <w:b/>
          <w:bCs/>
        </w:rPr>
        <w:t xml:space="preserve">favorable FX</w:t>
      </w:r>
      <w:r>
        <w:t xml:space="preserve">. Current FY26 framework:</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pPr>
            <w:r>
              <w:t xml:space="preserve">FY2026 Outlook</w:t>
            </w:r>
          </w:p>
        </w:tc>
      </w:tr>
      <w:tr>
        <w:tc>
          <w:tcPr/>
          <w:p>
            <w:pPr>
              <w:pStyle w:val="Compact"/>
            </w:pPr>
            <w:r>
              <w:t xml:space="preserve">Site-leasing revenue</w:t>
            </w:r>
          </w:p>
        </w:tc>
        <w:tc>
          <w:tcPr/>
          <w:p>
            <w:pPr>
              <w:pStyle w:val="Compact"/>
            </w:pPr>
            <w:r>
              <w:t xml:space="preserve">$2,649–2,674M</w:t>
            </w:r>
          </w:p>
        </w:tc>
      </w:tr>
      <w:tr>
        <w:tc>
          <w:tcPr/>
          <w:p>
            <w:pPr>
              <w:pStyle w:val="Compact"/>
            </w:pPr>
            <w:r>
              <w:t xml:space="preserve">Total revenue</w:t>
            </w:r>
          </w:p>
        </w:tc>
        <w:tc>
          <w:tcPr/>
          <w:p>
            <w:pPr>
              <w:pStyle w:val="Compact"/>
            </w:pPr>
            <w:r>
              <w:t xml:space="preserve">$2,839–2,884M</w:t>
            </w:r>
          </w:p>
        </w:tc>
      </w:tr>
      <w:tr>
        <w:tc>
          <w:tcPr/>
          <w:p>
            <w:pPr>
              <w:pStyle w:val="Compact"/>
            </w:pPr>
            <w:r>
              <w:t xml:space="preserve">Tower cash flow</w:t>
            </w:r>
          </w:p>
        </w:tc>
        <w:tc>
          <w:tcPr/>
          <w:p>
            <w:pPr>
              <w:pStyle w:val="Compact"/>
            </w:pPr>
            <w:r>
              <w:t xml:space="preserve">$2,092–2,112M</w:t>
            </w:r>
          </w:p>
        </w:tc>
      </w:tr>
      <w:tr>
        <w:tc>
          <w:tcPr/>
          <w:p>
            <w:pPr>
              <w:pStyle w:val="Compact"/>
            </w:pPr>
            <w:r>
              <w:t xml:space="preserve">Adjusted EBITDA</w:t>
            </w:r>
          </w:p>
        </w:tc>
        <w:tc>
          <w:tcPr/>
          <w:p>
            <w:pPr>
              <w:pStyle w:val="Compact"/>
            </w:pPr>
            <w:r>
              <w:t xml:space="preserve">$1,921–1,941M</w:t>
            </w:r>
          </w:p>
        </w:tc>
      </w:tr>
      <w:tr>
        <w:tc>
          <w:tcPr/>
          <w:p>
            <w:pPr>
              <w:pStyle w:val="Compact"/>
            </w:pPr>
            <w:r>
              <w:t xml:space="preserve">AFFO</w:t>
            </w:r>
          </w:p>
        </w:tc>
        <w:tc>
          <w:tcPr/>
          <w:p>
            <w:pPr>
              <w:pStyle w:val="Compact"/>
            </w:pPr>
            <w:r>
              <w:t xml:space="preserve">$1,269–1,317M</w:t>
            </w:r>
          </w:p>
        </w:tc>
      </w:tr>
      <w:tr>
        <w:tc>
          <w:tcPr/>
          <w:p>
            <w:pPr>
              <w:pStyle w:val="Compact"/>
            </w:pPr>
            <w:r>
              <w:rPr>
                <w:b/>
                <w:bCs/>
              </w:rPr>
              <w:t xml:space="preserve">AFFO/share</w:t>
            </w:r>
          </w:p>
        </w:tc>
        <w:tc>
          <w:tcPr/>
          <w:p>
            <w:pPr>
              <w:pStyle w:val="Compact"/>
            </w:pPr>
            <w:r>
              <w:t xml:space="preserve">**</w:t>
            </w:r>
            <m:oMath>
              <m:r>
                <m:t>11.93</m:t>
              </m:r>
              <m:r>
                <m:rPr>
                  <m:sty m:val="p"/>
                </m:rPr>
                <m:t>–</m:t>
              </m:r>
              <m:r>
                <m:t>12.38</m:t>
              </m:r>
              <m:r>
                <m:rPr>
                  <m:sty m:val="p"/>
                </m:rPr>
                <m:t>*</m:t>
              </m:r>
              <m:r>
                <m:rPr>
                  <m:sty m:val="p"/>
                </m:rPr>
                <m:t>*</m:t>
              </m:r>
              <m:r>
                <m:rPr>
                  <m:sty m:val="p"/>
                </m:rPr>
                <m:t>(</m:t>
              </m:r>
              <m:r>
                <m:t>m</m:t>
              </m:r>
              <m:r>
                <m:t>i</m:t>
              </m:r>
              <m:r>
                <m:t>d</m:t>
              </m:r>
              <m:r>
                <m:t>p</m:t>
              </m:r>
              <m:r>
                <m:t>o</m:t>
              </m:r>
              <m:r>
                <m:t>i</m:t>
              </m:r>
              <m:r>
                <m:t>n</m:t>
              </m:r>
              <m:r>
                <m:t>t</m:t>
              </m:r>
              <m:r>
                <m:t> </m:t>
              </m:r>
            </m:oMath>
            <w:r>
              <w:t xml:space="preserve">12.16)</w:t>
            </w:r>
          </w:p>
        </w:tc>
      </w:tr>
      <w:tr>
        <w:tc>
          <w:tcPr/>
          <w:p>
            <w:pPr>
              <w:pStyle w:val="Compact"/>
            </w:pPr>
            <w:r>
              <w:t xml:space="preserve">Net cash interest expense</w:t>
            </w:r>
          </w:p>
        </w:tc>
        <w:tc>
          <w:tcPr/>
          <w:p>
            <w:pPr>
              <w:pStyle w:val="Compact"/>
            </w:pPr>
            <w:r>
              <w:t xml:space="preserve">$492–500M</w:t>
            </w:r>
          </w:p>
        </w:tc>
      </w:tr>
      <w:tr>
        <w:tc>
          <w:tcPr/>
          <w:p>
            <w:pPr>
              <w:pStyle w:val="Compact"/>
            </w:pPr>
            <w:r>
              <w:t xml:space="preserve">Discretionary capex</w:t>
            </w:r>
          </w:p>
        </w:tc>
        <w:tc>
          <w:tcPr/>
          <w:p>
            <w:pPr>
              <w:pStyle w:val="Compact"/>
            </w:pPr>
            <w:r>
              <w:t xml:space="preserve">$430–450M</w:t>
            </w:r>
          </w:p>
        </w:tc>
      </w:tr>
    </w:tbl>
    <w:p>
      <w:pPr>
        <w:pStyle w:val="BodyText"/>
      </w:pPr>
      <w:r>
        <w:rPr>
          <w:b/>
          <w:bCs/>
        </w:rPr>
        <w:t xml:space="preserve">Watch:</w:t>
      </w:r>
      <w:r>
        <w:t xml:space="preserve"> </w:t>
      </w:r>
      <w:r>
        <w:t xml:space="preserve">FX is a double-edged sword given heavy Brazil/LatAm/Africa exposure (guidance assumes ~5.05 BRL, ~16.40 ZAR). Also watch whether the just-completed refinancing (below) shifts the interest-expense line.</w:t>
      </w:r>
    </w:p>
    <w:bookmarkEnd w:id="14"/>
    <w:bookmarkStart w:id="15" w:name="X451da5d9696aba33f89edc32e198e1fe788d4dc"/>
    <w:p>
      <w:pPr>
        <w:pStyle w:val="Heading3"/>
      </w:pPr>
      <w:r>
        <w:t xml:space="preserve">3) The investment-grade transition just happened — quantify it</w:t>
      </w:r>
    </w:p>
    <w:p>
      <w:pPr>
        <w:pStyle w:val="FirstParagraph"/>
      </w:pPr>
      <w:r>
        <w:t xml:space="preserve">This is the biggest structural news since Q1. On</w:t>
      </w:r>
      <w:r>
        <w:t xml:space="preserve"> </w:t>
      </w:r>
      <w:r>
        <w:rPr>
          <w:b/>
          <w:bCs/>
        </w:rPr>
        <w:t xml:space="preserve">July 23, 2026</w:t>
      </w:r>
      <w:r>
        <w:t xml:space="preserve"> </w:t>
      </w:r>
      <w:r>
        <w:t xml:space="preserve">SBAC closed a</w:t>
      </w:r>
      <w:r>
        <w:t xml:space="preserve"> </w:t>
      </w:r>
      <w:r>
        <w:rPr>
          <w:b/>
          <w:bCs/>
        </w:rPr>
        <w:t xml:space="preserve">$3.5B unsecured senior notes offering</w:t>
      </w:r>
      <w:r>
        <w:t xml:space="preserve"> </w:t>
      </w:r>
      <w:r>
        <w:t xml:space="preserve">— $1.35B at 4.875% (2030), $1.35B at 5.150% (2031),</w:t>
      </w:r>
      <w:r>
        <w:t xml:space="preserve"> </w:t>
      </w:r>
      <m:oMath>
        <m:r>
          <m:t>800</m:t>
        </m:r>
        <m:r>
          <m:t>M</m:t>
        </m:r>
        <m:r>
          <m:t>a</m:t>
        </m:r>
        <m:r>
          <m:t>t</m:t>
        </m:r>
        <m:r>
          <m:t>5.450</m:t>
        </m:r>
      </m:oMath>
      <w:r>
        <w:t xml:space="preserve">2.5B unsecured revolver** priced off S&amp;P/Fitch ratings.</w:t>
      </w:r>
      <w:r>
        <w:t xml:space="preserve"> </w:t>
      </w:r>
      <w:r>
        <w:rPr>
          <w:b/>
          <w:bCs/>
        </w:rPr>
        <w:t xml:space="preserve">Why it matters:</w:t>
      </w:r>
      <w:r>
        <w:t xml:space="preserve"> </w:t>
      </w:r>
      <w:r>
        <w:t xml:space="preserve">this is the pivot toward becoming an</w:t>
      </w:r>
      <w:r>
        <w:t xml:space="preserve"> </w:t>
      </w:r>
      <w:r>
        <w:rPr>
          <w:b/>
          <w:bCs/>
        </w:rPr>
        <w:t xml:space="preserve">investment-grade issuer</w:t>
      </w:r>
      <w:r>
        <w:t xml:space="preserve">, unlocking the deepest debt market and (over time) a lower relative cost of capital, at the expense of the secured/ABS structure.</w:t>
      </w:r>
      <w:r>
        <w:t xml:space="preserve"> </w:t>
      </w:r>
      <w:r>
        <w:rPr>
          <w:b/>
          <w:bCs/>
        </w:rPr>
        <w:t xml:space="preserve">Watch</w:t>
      </w:r>
      <w:r>
        <w:t xml:space="preserve"> </w:t>
      </w:r>
      <w:r>
        <w:t xml:space="preserve">for: updated net-cash-interest-expense guidance, commentary on the</w:t>
      </w:r>
      <w:r>
        <w:t xml:space="preserve"> </w:t>
      </w:r>
      <w:r>
        <w:rPr>
          <w:b/>
          <w:bCs/>
        </w:rPr>
        <w:t xml:space="preserve">$1.165B November 2021-1C ABS maturity</w:t>
      </w:r>
      <w:r>
        <w:t xml:space="preserve"> </w:t>
      </w:r>
      <w:r>
        <w:t xml:space="preserve">(previously assumed refinanced at 5.25%), a formal IG rating update, and how the new covenant flexibility (leverage up to 7.5x, temporarily 8.0x for acquisitions) reframes capital allocation.</w:t>
      </w:r>
    </w:p>
    <w:bookmarkEnd w:id="15"/>
    <w:bookmarkStart w:id="16" w:name="X136a4727af163a91cf6ab85a76fe45b1fcc0941"/>
    <w:p>
      <w:pPr>
        <w:pStyle w:val="Heading3"/>
      </w:pPr>
      <w:r>
        <w:t xml:space="preserve">4) EchoStar churn &amp; litigation</w:t>
      </w:r>
    </w:p>
    <w:p>
      <w:pPr>
        <w:pStyle w:val="FirstParagraph"/>
      </w:pPr>
      <w:r>
        <w:t xml:space="preserve">2026 guidance bakes in</w:t>
      </w:r>
      <w:r>
        <w:t xml:space="preserve"> </w:t>
      </w:r>
      <w:r>
        <w:rPr>
          <w:b/>
          <w:bCs/>
        </w:rPr>
        <w:t xml:space="preserve">~</w:t>
      </w:r>
      <m:oMath>
        <m:r>
          <m:t>56</m:t>
        </m:r>
        <m:r>
          <m:t>M</m:t>
        </m:r>
        <m:r>
          <m:t>o</m:t>
        </m:r>
        <m:r>
          <m:t>f</m:t>
        </m:r>
        <m:r>
          <m:t>S</m:t>
        </m:r>
        <m:r>
          <m:t>p</m:t>
        </m:r>
        <m:r>
          <m:t>r</m:t>
        </m:r>
        <m:r>
          <m:t>i</m:t>
        </m:r>
        <m:r>
          <m:t>n</m:t>
        </m:r>
        <m:r>
          <m:t>t</m:t>
        </m:r>
        <m:r>
          <m:t>c</m:t>
        </m:r>
        <m:r>
          <m:t>o</m:t>
        </m:r>
        <m:r>
          <m:t>n</m:t>
        </m:r>
        <m:r>
          <m:t>s</m:t>
        </m:r>
        <m:r>
          <m:t>o</m:t>
        </m:r>
        <m:r>
          <m:t>l</m:t>
        </m:r>
        <m:r>
          <m:t>i</m:t>
        </m:r>
        <m:r>
          <m:t>d</m:t>
        </m:r>
        <m:r>
          <m:t>a</m:t>
        </m:r>
        <m:r>
          <m:t>t</m:t>
        </m:r>
        <m:r>
          <m:t>i</m:t>
        </m:r>
        <m:r>
          <m:t>o</m:t>
        </m:r>
        <m:r>
          <m:t>n</m:t>
        </m:r>
        <m:r>
          <m:t>c</m:t>
        </m:r>
        <m:r>
          <m:t>h</m:t>
        </m:r>
        <m:r>
          <m:t>u</m:t>
        </m:r>
        <m:r>
          <m:t>r</m:t>
        </m:r>
        <m:r>
          <m:t>n</m:t>
        </m:r>
        <m:r>
          <m:t>a</m:t>
        </m:r>
        <m:r>
          <m:t>n</m:t>
        </m:r>
        <m:r>
          <m:t>d</m:t>
        </m:r>
        <m:r>
          <m:t> </m:t>
        </m:r>
      </m:oMath>
      <w:r>
        <w:rPr>
          <w:b/>
          <w:bCs/>
        </w:rPr>
        <w:t xml:space="preserve">56M of EchoStar churn</w:t>
      </w:r>
      <w:r>
        <w:t xml:space="preserve">, with</w:t>
      </w:r>
      <w:r>
        <w:t xml:space="preserve"> </w:t>
      </w:r>
      <w:r>
        <w:rPr>
          <w:b/>
          <w:bCs/>
        </w:rPr>
        <w:t xml:space="preserve">all EchoStar revenue removed as of Jan 1</w:t>
      </w:r>
      <w:r>
        <w:t xml:space="preserve">. SBAC is</w:t>
      </w:r>
      <w:r>
        <w:t xml:space="preserve"> </w:t>
      </w:r>
      <w:r>
        <w:rPr>
          <w:b/>
          <w:bCs/>
        </w:rPr>
        <w:t xml:space="preserve">litigating EchoStar in federal court</w:t>
      </w:r>
      <w:r>
        <w:t xml:space="preserve"> </w:t>
      </w:r>
      <w:r>
        <w:t xml:space="preserve">and "believes strongly in [its] contractual rights." Internationally, management called</w:t>
      </w:r>
      <w:r>
        <w:t xml:space="preserve"> </w:t>
      </w:r>
      <w:r>
        <w:rPr>
          <w:b/>
          <w:bCs/>
        </w:rPr>
        <w:t xml:space="preserve">2026 the peak year for churn</w:t>
      </w:r>
      <w:r>
        <w:t xml:space="preserve"> </w:t>
      </w:r>
      <w:r>
        <w:t xml:space="preserve">(carrier consolidation/restructuring), improving thereafter.</w:t>
      </w:r>
      <w:r>
        <w:t xml:space="preserve"> </w:t>
      </w:r>
      <w:r>
        <w:rPr>
          <w:b/>
          <w:bCs/>
        </w:rPr>
        <w:t xml:space="preserve">Watch:</w:t>
      </w:r>
      <w:r>
        <w:t xml:space="preserve"> </w:t>
      </w:r>
      <w:r>
        <w:t xml:space="preserve">any update on the EchoStar case, and confirmation that churn assumptions are tracking to plan.</w:t>
      </w:r>
    </w:p>
    <w:bookmarkEnd w:id="16"/>
    <w:bookmarkStart w:id="17" w:name="X82409d41732cb27f44e4f67e59a702f892787c3"/>
    <w:p>
      <w:pPr>
        <w:pStyle w:val="Heading3"/>
      </w:pPr>
      <w:r>
        <w:t xml:space="preserve">5) Capital allocation: buybacks vs. builds</w:t>
      </w:r>
    </w:p>
    <w:p>
      <w:pPr>
        <w:pStyle w:val="FirstParagraph"/>
      </w:pPr>
      <w:r>
        <w:t xml:space="preserve">In Q1 SBAC</w:t>
      </w:r>
      <w:r>
        <w:t xml:space="preserve"> </w:t>
      </w:r>
      <w:r>
        <w:rPr>
          <w:b/>
          <w:bCs/>
        </w:rPr>
        <w:t xml:space="preserve">prioritized paying down the revolver over buybacks</w:t>
      </w:r>
      <w:r>
        <w:t xml:space="preserve"> </w:t>
      </w:r>
      <w:r>
        <w:t xml:space="preserve">(~$1.1B authorization remaining) while still growing the dividend and funding</w:t>
      </w:r>
      <w:r>
        <w:t xml:space="preserve"> </w:t>
      </w:r>
      <w:r>
        <w:rPr>
          <w:b/>
          <w:bCs/>
        </w:rPr>
        <w:t xml:space="preserve">Central America new builds</w:t>
      </w:r>
      <w:r>
        <w:t xml:space="preserve"> </w:t>
      </w:r>
      <w:r>
        <w:t xml:space="preserve">(Millicom build-to-suit; ~60–80 towers/quarter and ramping) plus accretive land purchases (bought land under ~3,900 Guatemala sites at ~7x). Management reiterated buybacks "remain an important part" of the 2026 plan.</w:t>
      </w:r>
      <w:r>
        <w:t xml:space="preserve"> </w:t>
      </w:r>
      <w:r>
        <w:rPr>
          <w:b/>
          <w:bCs/>
        </w:rPr>
        <w:t xml:space="preserve">Watch:</w:t>
      </w:r>
      <w:r>
        <w:t xml:space="preserve"> </w:t>
      </w:r>
      <w:r>
        <w:t xml:space="preserve">did buyback activity resume in Q2? New-build pace? Any tuck-in M&amp;A. Also listen for updates on the</w:t>
      </w:r>
      <w:r>
        <w:t xml:space="preserve"> </w:t>
      </w:r>
      <w:r>
        <w:rPr>
          <w:b/>
          <w:bCs/>
        </w:rPr>
        <w:t xml:space="preserve">mobile edge computing</w:t>
      </w:r>
      <w:r>
        <w:t xml:space="preserve"> </w:t>
      </w:r>
      <w:r>
        <w:t xml:space="preserve">optionality (AI inference / low-latency at tower compounds) — early-stage but increasingly emphasized.</w:t>
      </w:r>
    </w:p>
    <w:p>
      <w:r>
        <w:pict>
          <v:rect style="width:0;height:1.5pt" o:hralign="center" o:hrstd="t" o:hr="t"/>
        </w:pict>
      </w:r>
    </w:p>
    <w:bookmarkEnd w:id="17"/>
    <w:bookmarkEnd w:id="18"/>
    <w:bookmarkStart w:id="19" w:name="the-overhang-takeover-speculation"/>
    <w:p>
      <w:pPr>
        <w:pStyle w:val="Heading2"/>
      </w:pPr>
      <w:r>
        <w:t xml:space="preserve">The overhang: takeover speculation</w:t>
      </w:r>
    </w:p>
    <w:p>
      <w:pPr>
        <w:pStyle w:val="FirstParagraph"/>
      </w:pPr>
      <w:r>
        <w:t xml:space="preserve">Since early 2026 there have been recurring reports of</w:t>
      </w:r>
      <w:r>
        <w:t xml:space="preserve"> </w:t>
      </w:r>
      <w:r>
        <w:rPr>
          <w:b/>
          <w:bCs/>
        </w:rPr>
        <w:t xml:space="preserve">private-equity interest in taking SBAC private</w:t>
      </w:r>
      <w:r>
        <w:t xml:space="preserve"> </w:t>
      </w:r>
      <w:r>
        <w:t xml:space="preserve">(one report floated ~$250/share). CEO Brendan Cavanagh declined to comment on "speculation or rumors" on the Q1 call but stressed SBA "always evaluates all options" for shareholders. The stock spiked ~19% in early April on this chatter and has since given most of it back.</w:t>
      </w:r>
      <w:r>
        <w:t xml:space="preserve"> </w:t>
      </w:r>
      <w:r>
        <w:rPr>
          <w:b/>
          <w:bCs/>
        </w:rPr>
        <w:t xml:space="preserve">Watch:</w:t>
      </w:r>
      <w:r>
        <w:t xml:space="preserve"> </w:t>
      </w:r>
      <w:r>
        <w:t xml:space="preserve">any change in tone. This is both a potential catalyst and the reason the stock trades with a "will-they/won't-they" premium/discount debate (public vs. private-market value gap).</w:t>
      </w:r>
    </w:p>
    <w:p>
      <w:r>
        <w:pict>
          <v:rect style="width:0;height:1.5pt" o:hralign="center" o:hrstd="t" o:hr="t"/>
        </w:pict>
      </w:r>
    </w:p>
    <w:bookmarkEnd w:id="19"/>
    <w:bookmarkStart w:id="20" w:name="stock-context"/>
    <w:p>
      <w:pPr>
        <w:pStyle w:val="Heading2"/>
      </w:pPr>
      <w:r>
        <w:t xml:space="preserve">Stock context</w:t>
      </w:r>
    </w:p>
    <w:p>
      <w:pPr>
        <w:pStyle w:val="FirstParagraph"/>
      </w:pPr>
      <w:r>
        <w:t xml:space="preserve">SBAC has been a laggard. Shares closed around **</w:t>
      </w:r>
      <m:oMath>
        <m:r>
          <m:t>181</m:t>
        </m:r>
        <m:r>
          <m:rPr>
            <m:sty m:val="p"/>
          </m:rPr>
          <m:t>*</m:t>
        </m:r>
        <m:r>
          <m:rPr>
            <m:sty m:val="p"/>
          </m:rPr>
          <m:t>*</m:t>
        </m:r>
        <m:r>
          <m:t>o</m:t>
        </m:r>
        <m:r>
          <m:t>n</m:t>
        </m:r>
        <m:r>
          <m:t>J</m:t>
        </m:r>
        <m:r>
          <m:t>u</m:t>
        </m:r>
        <m:r>
          <m:t>l</m:t>
        </m:r>
        <m:r>
          <m:t>y</m:t>
        </m:r>
        <m:r>
          <m:t>31</m:t>
        </m:r>
        <m:r>
          <m:rPr>
            <m:sty m:val="p"/>
          </m:rPr>
          <m:t>,</m:t>
        </m:r>
        <m:r>
          <m:rPr>
            <m:sty m:val="p"/>
          </m:rPr>
          <m:t>*</m:t>
        </m:r>
        <m:r>
          <m:rPr>
            <m:sty m:val="p"/>
          </m:rPr>
          <m:t>*</m:t>
        </m:r>
        <m:r>
          <m:t>d</m:t>
        </m:r>
        <m:r>
          <m:t>o</m:t>
        </m:r>
        <m:r>
          <m:t>w</m:t>
        </m:r>
        <m:r>
          <m:t>n</m:t>
        </m:r>
        <m:r>
          <m:t> </m:t>
        </m:r>
        <m:r>
          <m:t>21</m:t>
        </m:r>
      </m:oMath>
      <w:r>
        <w:t xml:space="preserve">229 a year ago) and</w:t>
      </w:r>
      <w:r>
        <w:t xml:space="preserve"> </w:t>
      </w:r>
      <w:r>
        <w:rPr>
          <w:b/>
          <w:bCs/>
        </w:rPr>
        <w:t xml:space="preserve">down ~16% since the Q1 print</w:t>
      </w:r>
      <w:r>
        <w:t xml:space="preserve"> </w:t>
      </w:r>
      <w:r>
        <w:t xml:space="preserve">(~$216 on April 29). The peer group has been soft too (AMT and CCI both down over the same stretch), reflecting rate sensitivity across tower REITs. The trailing weakness sets a lower bar into the print but also signals the market's skepticism on domestic growth and the AFFO/share trajectory.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p>
        </w:tc>
        <w:tc>
          <w:tcPr/>
          <w:p>
            <w:pPr>
              <w:pStyle w:val="Compact"/>
            </w:pPr>
            <w:r>
              <w:t xml:space="preserve">~1yr ago</w:t>
            </w:r>
          </w:p>
        </w:tc>
        <w:tc>
          <w:tcPr/>
          <w:p>
            <w:pPr>
              <w:pStyle w:val="Compact"/>
            </w:pPr>
            <w:r>
              <w:t xml:space="preserve">Q1 print (4/29)</w:t>
            </w:r>
          </w:p>
        </w:tc>
        <w:tc>
          <w:tcPr/>
          <w:p>
            <w:pPr>
              <w:pStyle w:val="Compact"/>
            </w:pPr>
            <w:r>
              <w:t xml:space="preserve">Recent (7/31)</w:t>
            </w:r>
          </w:p>
        </w:tc>
      </w:tr>
      <w:tr>
        <w:tc>
          <w:tcPr/>
          <w:p>
            <w:pPr>
              <w:pStyle w:val="Compact"/>
            </w:pPr>
            <w:r>
              <w:t xml:space="preserve">SBAC</w:t>
            </w:r>
          </w:p>
        </w:tc>
        <w:tc>
          <w:tcPr/>
          <w:p>
            <w:pPr>
              <w:pStyle w:val="Compact"/>
            </w:pPr>
            <w:r>
              <w:t xml:space="preserve">~$229</w:t>
            </w:r>
          </w:p>
        </w:tc>
        <w:tc>
          <w:tcPr/>
          <w:p>
            <w:pPr>
              <w:pStyle w:val="Compact"/>
            </w:pPr>
            <w:r>
              <w:t xml:space="preserve">~$216</w:t>
            </w:r>
          </w:p>
        </w:tc>
        <w:tc>
          <w:tcPr/>
          <w:p>
            <w:pPr>
              <w:pStyle w:val="Compact"/>
            </w:pPr>
            <w:r>
              <w:t xml:space="preserve">~$181</w:t>
            </w:r>
          </w:p>
        </w:tc>
      </w:tr>
    </w:tbl>
    <w:p>
      <w:r>
        <w:pict>
          <v:rect style="width:0;height:1.5pt" o:hralign="center" o:hrstd="t" o:hr="t"/>
        </w:pict>
      </w:r>
    </w:p>
    <w:bookmarkEnd w:id="20"/>
    <w:bookmarkStart w:id="21" w:name="bottom-line"/>
    <w:p>
      <w:pPr>
        <w:pStyle w:val="Heading2"/>
      </w:pPr>
      <w:r>
        <w:t xml:space="preserve">Bottom line</w:t>
      </w:r>
    </w:p>
    <w:p>
      <w:pPr>
        <w:pStyle w:val="FirstParagraph"/>
      </w:pPr>
      <w:r>
        <w:t xml:space="preserve">The number to anchor on is</w:t>
      </w:r>
      <w:r>
        <w:t xml:space="preserve"> </w:t>
      </w:r>
      <w:r>
        <w:rPr>
          <w:b/>
          <w:bCs/>
        </w:rPr>
        <w:t xml:space="preserve">AFFO/share (~$2.96 consensus, down YoY)</w:t>
      </w:r>
      <w:r>
        <w:t xml:space="preserve"> </w:t>
      </w:r>
      <w:r>
        <w:t xml:space="preserve">and, more importantly,</w:t>
      </w:r>
      <w:r>
        <w:t xml:space="preserve"> </w:t>
      </w:r>
      <w:r>
        <w:rPr>
          <w:b/>
          <w:bCs/>
        </w:rPr>
        <w:t xml:space="preserve">whether management raises FY guidance again</w:t>
      </w:r>
      <w:r>
        <w:t xml:space="preserve">. The bull case rests on (a) a genuine domestic leasing re-acceleration off a rising backlog and new carrier master agreements, (b) durable Millicom-driven international growth, and (c) a cheaper, more flexible IG balance sheet. The bear case is that domestic churn + higher interest expense keep AFFO/share flat-to-down while FX adds volatility. With the IG refinancing just closed and takeout speculation lingering, the</w:t>
      </w:r>
      <w:r>
        <w:t xml:space="preserve"> </w:t>
      </w:r>
      <w:r>
        <w:rPr>
          <w:b/>
          <w:bCs/>
        </w:rPr>
        <w:t xml:space="preserve">tone on capital allocation, interest expense, and the domestic outlook will likely move the stock more than the headline beat/miss.</w:t>
      </w:r>
    </w:p>
    <w:p>
      <w:r>
        <w:pict>
          <v:rect style="width:0;height:1.5pt" o:hralign="center" o:hrstd="t" o:hr="t"/>
        </w:pict>
      </w:r>
    </w:p>
    <w:p>
      <w:pPr>
        <w:pStyle w:val="FirstParagraph"/>
      </w:pPr>
      <w:r>
        <w:rPr>
          <w:i/>
          <w:iCs/>
        </w:rPr>
        <w:t xml:space="preserve">Note: Consensus estimates and takeover-speculation details are drawn from third-party press coverage; all company financials, guidance, and management commentary are from SBAC's Q1 2026 earnings release/call and its July 2026 8-K filings.</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2026-08-03T00:15:25Z</dcterms:created>
  <dcterms:modified xsi:type="dcterms:W3CDTF">2026-08-03T00:15:25Z</dcterms:modified>
</cp:coreProperties>
</file>

<file path=docProps/custom.xml><?xml version="1.0" encoding="utf-8"?>
<Properties xmlns="http://schemas.openxmlformats.org/officeDocument/2006/custom-properties" xmlns:vt="http://schemas.openxmlformats.org/officeDocument/2006/docPropsVTypes"/>
</file>