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bac-earnings-predictions--2026-08-03"/>
    <w:p>
      <w:pPr>
        <w:pStyle w:val="Heading1"/>
      </w:pPr>
      <w:r>
        <w:t xml:space="preserve">SBAC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~$3.02 vs. cons $2.96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Site leasing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~$665M vs. cons $657.96M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~$706M vs. cons $703.4M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12.05</m:t>
              </m:r>
              <m:r>
                <m:rPr>
                  <m:sty m:val="p"/>
                </m:rPr>
                <m:t>−</m:t>
              </m:r>
            </m:oMath>
            <w:r>
              <w:t xml:space="preserve">12.55 (mid ~</w:t>
            </w:r>
            <m:oMath>
              <m:r>
                <m:t>12.30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12.15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Site leasing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</m:t>
              </m:r>
              <m:r>
                <m:rPr>
                  <m:sty m:val="p"/>
                </m:rPr>
                <m:t>,</m:t>
              </m:r>
              <m:r>
                <m:t>665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2,695M (mid ~</w:t>
            </w:r>
            <m:oMath>
              <m:r>
                <m:t>2</m:t>
              </m:r>
              <m:r>
                <m:rPr>
                  <m:sty m:val="p"/>
                </m:rPr>
                <m:t>,</m:t>
              </m:r>
              <m:r>
                <m:t>680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2,665M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EchoStar + Sprint churn assumption (domestic, 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~$112M combined churn vs. prior guide $112M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debt/EBITDA leverage trajectory (post $3.5B unsecured notes deal)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guide/actual ~6.4x vs. prior Q1 level 6.6x (Q2 2026, within 6.0x-7.0x target)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Beat-and-raise plus successful IG bond refinancing should drive an initial relief rally given the stock's ~20% pullback and wide gap to price targets, echoing constructive AMT/CCI reactions. But the FY26 guide raise looks modest relative to Q1's larger raise (implying H2 deceleration in domestic leasing as EchoStar/Sprint churn ($112M combined) and elevated international churn persist), leverage stays near the top of the 6.0x-7.0x target range even after the notes deal, and DISH bankruptcy/discovery proceedings remain an unresolved overhang alongside ongoing take-private speculation that has driven outsized, fundamentals-unrelated swings all summer — all of which should cap follow-through and pull the initial pop back in over the next few sessions.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2026-08-03T00:12:08Z</dcterms:created>
  <dcterms:modified xsi:type="dcterms:W3CDTF">2026-08-03T00:12:08Z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