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591c976653a23b5c59d259d22c6831eb0412de2"/>
    <w:p>
      <w:pPr>
        <w:pStyle w:val="Heading1"/>
      </w:pPr>
      <w:r>
        <w:t xml:space="preserve">SBA Communications (SBAC) — Q2 2026 Earnings Preview</w:t>
      </w:r>
    </w:p>
    <w:p>
      <w:pPr>
        <w:pStyle w:val="FirstParagraph"/>
      </w:pPr>
      <w:r>
        <w:rPr>
          <w:b/>
          <w:bCs/>
        </w:rPr>
        <w:t xml:space="preserve">Reports: Monday, August 3, 2026, after market close | Call: 5:00 PM ET</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SBAC shares have had a rough summer after a strong start to the year. The stock ran from the low-$190s in January to a 52-week high near</w:t>
      </w:r>
      <w:r>
        <w:t xml:space="preserve"> </w:t>
      </w:r>
      <m:oMath>
        <m:r>
          <m:t>223</m:t>
        </m:r>
        <m:r>
          <m:t>i</m:t>
        </m:r>
        <m:r>
          <m:t>n</m:t>
        </m:r>
        <m:r>
          <m:t>m</m:t>
        </m:r>
        <m:r>
          <m:t>i</m:t>
        </m:r>
        <m:r>
          <m:t>d</m:t>
        </m:r>
        <m:r>
          <m:rPr>
            <m:sty m:val="p"/>
          </m:rPr>
          <m:t>−</m:t>
        </m:r>
        <m:r>
          <m:t>A</m:t>
        </m:r>
        <m:r>
          <m:t>p</m:t>
        </m:r>
        <m:r>
          <m:t>r</m:t>
        </m:r>
        <m:r>
          <m:t>i</m:t>
        </m:r>
        <m:r>
          <m:t>l</m:t>
        </m:r>
        <m:r>
          <m:t>o</m:t>
        </m:r>
        <m:r>
          <m:t>n</m:t>
        </m:r>
        <m:r>
          <m:t>t</m:t>
        </m:r>
        <m:r>
          <m:t>h</m:t>
        </m:r>
        <m:r>
          <m:t>e</m:t>
        </m:r>
        <m:r>
          <m:t>b</m:t>
        </m:r>
        <m:r>
          <m:t>a</m:t>
        </m:r>
        <m:r>
          <m:t>c</m:t>
        </m:r>
        <m:r>
          <m:t>k</m:t>
        </m:r>
        <m:r>
          <m:t>o</m:t>
        </m:r>
        <m:r>
          <m:t>f</m:t>
        </m:r>
        <m:r>
          <m:t>a</m:t>
        </m:r>
        <m:r>
          <m:t>s</m:t>
        </m:r>
        <m:r>
          <m:t>t</m:t>
        </m:r>
        <m:r>
          <m:t>r</m:t>
        </m:r>
        <m:r>
          <m:t>o</m:t>
        </m:r>
        <m:r>
          <m:t>n</m:t>
        </m:r>
        <m:r>
          <m:t>g</m:t>
        </m:r>
        <m:r>
          <m:t>Q</m:t>
        </m:r>
        <m:r>
          <m:t>1</m:t>
        </m:r>
        <m:r>
          <m:t>b</m:t>
        </m:r>
        <m:r>
          <m:t>e</m:t>
        </m:r>
        <m:r>
          <m:t>a</m:t>
        </m:r>
        <m:r>
          <m:t>t</m:t>
        </m:r>
        <m:r>
          <m:rPr>
            <m:sty m:val="p"/>
          </m:rPr>
          <m:t>,</m:t>
        </m:r>
        <m:r>
          <m:t>b</m:t>
        </m:r>
        <m:r>
          <m:t>u</m:t>
        </m:r>
        <m:r>
          <m:t>t</m:t>
        </m:r>
        <m:r>
          <m:t>i</m:t>
        </m:r>
        <m:r>
          <m:t>t</m:t>
        </m:r>
        <m:r>
          <m:t>h</m:t>
        </m:r>
        <m:r>
          <m:t>a</m:t>
        </m:r>
        <m:r>
          <m:t>s</m:t>
        </m:r>
        <m:r>
          <m:t>s</m:t>
        </m:r>
        <m:r>
          <m:t>i</m:t>
        </m:r>
        <m:r>
          <m:t>n</m:t>
        </m:r>
        <m:r>
          <m:t>c</m:t>
        </m:r>
        <m:r>
          <m:t>e</m:t>
        </m:r>
        <m:r>
          <m:t>d</m:t>
        </m:r>
        <m:r>
          <m:t>r</m:t>
        </m:r>
        <m:r>
          <m:t>i</m:t>
        </m:r>
        <m:r>
          <m:t>f</m:t>
        </m:r>
        <m:r>
          <m:t>t</m:t>
        </m:r>
        <m:r>
          <m:t>e</m:t>
        </m:r>
        <m:r>
          <m:t>d</m:t>
        </m:r>
        <m:r>
          <m:t>b</m:t>
        </m:r>
        <m:r>
          <m:t>a</m:t>
        </m:r>
        <m:r>
          <m:t>c</m:t>
        </m:r>
        <m:r>
          <m:t>k</m:t>
        </m:r>
        <m:r>
          <m:t>d</m:t>
        </m:r>
        <m:r>
          <m:t>o</m:t>
        </m:r>
        <m:r>
          <m:t>w</m:t>
        </m:r>
        <m:r>
          <m:t>n</m:t>
        </m:r>
        <m:r>
          <m:t>t</m:t>
        </m:r>
        <m:r>
          <m:t>o</m:t>
        </m:r>
        <m:r>
          <m:t>r</m:t>
        </m:r>
        <m:r>
          <m:t>o</m:t>
        </m:r>
        <m:r>
          <m:t>u</m:t>
        </m:r>
        <m:r>
          <m:t>g</m:t>
        </m:r>
        <m:r>
          <m:t>h</m:t>
        </m:r>
        <m:r>
          <m:t>l</m:t>
        </m:r>
        <m:r>
          <m:t>y</m:t>
        </m:r>
        <m:r>
          <m:rPr>
            <m:sty m:val="p"/>
          </m:rPr>
          <m:t>*</m:t>
        </m:r>
        <m:r>
          <m:rPr>
            <m:sty m:val="p"/>
          </m:rPr>
          <m:t>*</m:t>
        </m:r>
      </m:oMath>
      <w:r>
        <w:t xml:space="preserve">181** as of July 31 — essentially flat to slightly down for the year and well below Street price targets that cluster in the</w:t>
      </w:r>
      <w:r>
        <w:t xml:space="preserve"> </w:t>
      </w:r>
      <m:oMath>
        <m:r>
          <m:t>234</m:t>
        </m:r>
        <m:r>
          <m:rPr>
            <m:sty m:val="p"/>
          </m:rPr>
          <m:t>–</m:t>
        </m:r>
      </m:oMath>
      <w:r>
        <w:rPr>
          <w:b/>
          <w:bCs/>
        </w:rPr>
        <w:t xml:space="preserve">241</w:t>
      </w:r>
      <w:r>
        <w:t xml:space="preserve"> </w:t>
      </w:r>
      <w:r>
        <w:t xml:space="preserve">range. The gap between the stock and where sell-side models sit suggests the market is discounting either execution risk or the EchoStar/DISH overhang discussed below (or both).</w:t>
      </w:r>
    </w:p>
    <w:p>
      <w:pPr>
        <w:pStyle w:val="BodyText"/>
      </w:pPr>
      <w:r>
        <w:t xml:space="preserve">Consensus (Zacks) for Q2 2026 sits at roughly</w:t>
      </w:r>
      <w:r>
        <w:t xml:space="preserve"> </w:t>
      </w:r>
      <w:r>
        <w:rPr>
          <w:b/>
          <w:bCs/>
        </w:rPr>
        <w:t xml:space="preserve">$2.96 AFFO/share</w:t>
      </w:r>
      <w:r>
        <w:t xml:space="preserve"> </w:t>
      </w:r>
      <w:r>
        <w:t xml:space="preserve">(a ~6.6% y/y decline vs.</w:t>
      </w:r>
      <w:r>
        <w:t xml:space="preserve"> </w:t>
      </w:r>
      <m:oMath>
        <m:r>
          <m:t>3.17</m:t>
        </m:r>
        <m:r>
          <m:t>i</m:t>
        </m:r>
        <m:r>
          <m:t>n</m:t>
        </m:r>
        <m:r>
          <m:t>Q</m:t>
        </m:r>
        <m:r>
          <m:t>2</m:t>
        </m:r>
        <m:r>
          <m:t>2025</m:t>
        </m:r>
        <m:r>
          <m:rPr>
            <m:sty m:val="p"/>
          </m:rPr>
          <m:t>)</m:t>
        </m:r>
        <m:r>
          <m:t>o</m:t>
        </m:r>
        <m:r>
          <m:t>n</m:t>
        </m:r>
        <m:r>
          <m:t>t</m:t>
        </m:r>
        <m:r>
          <m:t>o</m:t>
        </m:r>
        <m:r>
          <m:t>t</m:t>
        </m:r>
        <m:r>
          <m:t>a</m:t>
        </m:r>
        <m:r>
          <m:t>l</m:t>
        </m:r>
        <m:r>
          <m:t>r</m:t>
        </m:r>
        <m:r>
          <m:t>e</m:t>
        </m:r>
        <m:r>
          <m:t>v</m:t>
        </m:r>
        <m:r>
          <m:t>e</m:t>
        </m:r>
        <m:r>
          <m:t>n</m:t>
        </m:r>
        <m:r>
          <m:t>u</m:t>
        </m:r>
        <m:r>
          <m:t>e</m:t>
        </m:r>
        <m:r>
          <m:t>o</m:t>
        </m:r>
        <m:r>
          <m:t>f</m:t>
        </m:r>
        <m:r>
          <m:t>r</m:t>
        </m:r>
        <m:r>
          <m:t>o</m:t>
        </m:r>
        <m:r>
          <m:t>u</m:t>
        </m:r>
        <m:r>
          <m:t>g</m:t>
        </m:r>
        <m:r>
          <m:t>h</m:t>
        </m:r>
        <m:r>
          <m:t>l</m:t>
        </m:r>
        <m:r>
          <m:t>y</m:t>
        </m:r>
        <m:r>
          <m:rPr>
            <m:sty m:val="p"/>
          </m:rPr>
          <m:t>*</m:t>
        </m:r>
        <m:r>
          <m:rPr>
            <m:sty m:val="p"/>
          </m:rPr>
          <m:t>*</m:t>
        </m:r>
      </m:oMath>
      <w:r>
        <w:t xml:space="preserve">703 million** (+0.6% y/y), with international site-leasing revenue expected around</w:t>
      </w:r>
      <w:r>
        <w:t xml:space="preserve"> </w:t>
      </w:r>
      <w:r>
        <w:rPr>
          <w:b/>
          <w:bCs/>
        </w:rPr>
        <w:t xml:space="preserve">$209 million</w:t>
      </w:r>
      <w:r>
        <w:t xml:space="preserve"> </w:t>
      </w:r>
      <w:r>
        <w:t xml:space="preserve">(+29% y/y) as Millicom-related contributions continue to ramp. Full-year 2026 Street AFFO/share estimates are running below the top end of management's own guidance range, which is worth reconciling on the call.</w:t>
      </w:r>
    </w:p>
    <w:bookmarkEnd w:id="9"/>
    <w:bookmarkStart w:id="10" w:name="X44e51fdd337537a2d2df6294977395e1d73427b"/>
    <w:p>
      <w:pPr>
        <w:pStyle w:val="Heading2"/>
      </w:pPr>
      <w:r>
        <w:t xml:space="preserve">2. What Happened Last Quarter (the Baseline)</w:t>
      </w:r>
    </w:p>
    <w:p>
      <w:pPr>
        <w:pStyle w:val="FirstParagraph"/>
      </w:pPr>
      <w:r>
        <w:t xml:space="preserve">Q1 2026 was a clean beat-and-raise. SBA reported net income attributable to SBA of $184.8 million or $1.74 per share and industry-leading AFFO per share of</w:t>
      </w:r>
      <w:r>
        <w:t xml:space="preserve"> </w:t>
      </w:r>
      <m:oMath>
        <m:r>
          <m:t>3.03</m:t>
        </m:r>
        <m:r>
          <m:rPr>
            <m:sty m:val="p"/>
          </m:rPr>
          <m:t>,</m:t>
        </m:r>
        <m:r>
          <m:t>w</m:t>
        </m:r>
        <m:r>
          <m:t>i</m:t>
        </m:r>
        <m:r>
          <m:t>t</m:t>
        </m:r>
        <m:r>
          <m:t>h</m:t>
        </m:r>
        <m:r>
          <m:t>a</m:t>
        </m:r>
        <m:r>
          <m:t>c</m:t>
        </m:r>
        <m:r>
          <m:t>o</m:t>
        </m:r>
        <m:r>
          <m:t>m</m:t>
        </m:r>
        <m:r>
          <m:t>p</m:t>
        </m:r>
        <m:r>
          <m:t>a</m:t>
        </m:r>
        <m:r>
          <m:t>n</m:t>
        </m:r>
        <m:r>
          <m:t>y</m:t>
        </m:r>
        <m:r>
          <m:rPr>
            <m:sty m:val="p"/>
          </m:rPr>
          <m:t>−</m:t>
        </m:r>
        <m:r>
          <m:t>w</m:t>
        </m:r>
        <m:r>
          <m:t>i</m:t>
        </m:r>
        <m:r>
          <m:t>d</m:t>
        </m:r>
        <m:r>
          <m:t>e</m:t>
        </m:r>
        <m:r>
          <m:t>T</m:t>
        </m:r>
        <m:r>
          <m:t>o</m:t>
        </m:r>
        <m:r>
          <m:t>w</m:t>
        </m:r>
        <m:r>
          <m:t>e</m:t>
        </m:r>
        <m:r>
          <m:t>r</m:t>
        </m:r>
        <m:r>
          <m:t>C</m:t>
        </m:r>
        <m:r>
          <m:t>a</m:t>
        </m:r>
        <m:r>
          <m:t>s</m:t>
        </m:r>
        <m:r>
          <m:t>h</m:t>
        </m:r>
        <m:r>
          <m:t>F</m:t>
        </m:r>
        <m:r>
          <m:t>l</m:t>
        </m:r>
        <m:r>
          <m:t>o</m:t>
        </m:r>
        <m:r>
          <m:t>w</m:t>
        </m:r>
        <m:r>
          <m:t>m</m:t>
        </m:r>
        <m:r>
          <m:t>a</m:t>
        </m:r>
        <m:r>
          <m:t>r</m:t>
        </m:r>
        <m:r>
          <m:t>g</m:t>
        </m:r>
        <m:r>
          <m:t>i</m:t>
        </m:r>
        <m:r>
          <m:t>n</m:t>
        </m:r>
        <m:r>
          <m:t>o</m:t>
        </m:r>
        <m:r>
          <m:t>f</m:t>
        </m:r>
        <m:r>
          <m:t>a</m:t>
        </m:r>
        <m:r>
          <m:t>p</m:t>
        </m:r>
        <m:r>
          <m:t>p</m:t>
        </m:r>
        <m:r>
          <m:t>r</m:t>
        </m:r>
        <m:r>
          <m:t>o</m:t>
        </m:r>
        <m:r>
          <m:t>x</m:t>
        </m:r>
        <m:r>
          <m:t>i</m:t>
        </m:r>
        <m:r>
          <m:t>m</m:t>
        </m:r>
        <m:r>
          <m:t>a</m:t>
        </m:r>
        <m:r>
          <m:t>t</m:t>
        </m:r>
        <m:r>
          <m:t>e</m:t>
        </m:r>
        <m:r>
          <m:t>l</m:t>
        </m:r>
        <m:r>
          <m:t>y</m:t>
        </m:r>
        <m:r>
          <m:t>80</m:t>
        </m:r>
      </m:oMath>
      <w:r>
        <w:t xml:space="preserve">2.649–</w:t>
      </w:r>
      <m:oMath>
        <m:r>
          <m:t>2.674</m:t>
        </m:r>
        <m:r>
          <m:t>b</m:t>
        </m:r>
        <m:r>
          <m:t>i</m:t>
        </m:r>
        <m:r>
          <m:t>l</m:t>
        </m:r>
        <m:r>
          <m:t>l</m:t>
        </m:r>
        <m:r>
          <m:t>i</m:t>
        </m:r>
        <m:r>
          <m:t>o</m:t>
        </m:r>
        <m:r>
          <m:t>n</m:t>
        </m:r>
        <m:r>
          <m:rPr>
            <m:sty m:val="p"/>
          </m:rPr>
          <m:t>*</m:t>
        </m:r>
        <m:r>
          <m:rPr>
            <m:sty m:val="p"/>
          </m:rPr>
          <m:t>*</m:t>
        </m:r>
        <m:r>
          <m:t>a</m:t>
        </m:r>
        <m:r>
          <m:t>n</m:t>
        </m:r>
        <m:r>
          <m:t>d</m:t>
        </m:r>
        <m:r>
          <m:t>A</m:t>
        </m:r>
        <m:r>
          <m:t>F</m:t>
        </m:r>
        <m:r>
          <m:t>F</m:t>
        </m:r>
        <m:r>
          <m:t>O</m:t>
        </m:r>
        <m:r>
          <m:rPr>
            <m:sty m:val="p"/>
          </m:rPr>
          <m:t>/</m:t>
        </m:r>
        <m:r>
          <m:t>s</m:t>
        </m:r>
        <m:r>
          <m:t>h</m:t>
        </m:r>
        <m:r>
          <m:t>a</m:t>
        </m:r>
        <m:r>
          <m:t>r</m:t>
        </m:r>
        <m:r>
          <m:t>e</m:t>
        </m:r>
        <m:r>
          <m:t>o</m:t>
        </m:r>
        <m:r>
          <m:t>f</m:t>
        </m:r>
        <m:r>
          <m:rPr>
            <m:sty m:val="p"/>
          </m:rPr>
          <m:t>*</m:t>
        </m:r>
        <m:r>
          <m:rPr>
            <m:sty m:val="p"/>
          </m:rPr>
          <m:t>*</m:t>
        </m:r>
      </m:oMath>
      <w:r>
        <w:t xml:space="preserve">11.93–$12.38**.</w:t>
      </w:r>
    </w:p>
    <w:p>
      <w:pPr>
        <w:pStyle w:val="BodyText"/>
      </w:pPr>
      <w:r>
        <w:t xml:space="preserve">Domestic leasing was actually a bit soft on a reported basis (revenue down 2.3% y/y) due to Sprint and EchoStar-related churn, while</w:t>
      </w:r>
      <w:r>
        <w:t xml:space="preserve"> </w:t>
      </w:r>
      <w:r>
        <w:rPr>
          <w:b/>
          <w:bCs/>
        </w:rPr>
        <w:t xml:space="preserve">international revenue surged 32.6% y/y</w:t>
      </w:r>
      <w:r>
        <w:t xml:space="preserve"> </w:t>
      </w:r>
      <w:r>
        <w:t xml:space="preserve">on Millicom/Central America contributions. Management flagged that international churn continues to be elevated due to carrier consolidation, bankruptcy, restructurings and wireless operator's network rationalizations, and that they believe 2026 will be the peak year for international churn and expect improvement in our churn rate over the next several years.</w:t>
      </w:r>
    </w:p>
    <w:bookmarkEnd w:id="10"/>
    <w:bookmarkStart w:id="11" w:name="Xb432dffdf66a584293c0a51440242b330188305"/>
    <w:p>
      <w:pPr>
        <w:pStyle w:val="Heading2"/>
      </w:pPr>
      <w:r>
        <w:t xml:space="preserve">3. The Big Swing Factor Since Q1: Balance Sheet Overhaul</w:t>
      </w:r>
    </w:p>
    <w:p>
      <w:pPr>
        <w:pStyle w:val="FirstParagraph"/>
      </w:pPr>
      <w:r>
        <w:t xml:space="preserve">The most consequential company-specific event since the Q1 call happened just last week. On July 23, SBA closed a</w:t>
      </w:r>
      <w:r>
        <w:t xml:space="preserve"> </w:t>
      </w:r>
      <w:r>
        <w:rPr>
          <w:b/>
          <w:bCs/>
        </w:rPr>
        <w:t xml:space="preserve">$3.5 billion senior unsecured notes offering</w:t>
      </w:r>
      <w:r>
        <w:t xml:space="preserve"> </w:t>
      </w:r>
      <w:r>
        <w:t xml:space="preserve">— $1.35 billion aggregate principal amount of its 4.875% Senior Notes due 2030, $1.35 billion aggregate principal amount of its 5.150% Senior Notes due 2031 and $800.0 million aggregate principal amount of its 5.450% Senior Notes due 2033 — and used the proceeds to repay in full its senior secured term loan that would have matured on January 25, 2031 and repay in full outstanding borrowings under its senior secured revolving credit facility. Concurrently, SBA entered into a new senior unsecured credit agreement... provides for a senior unsecured revolving credit facility under which up to $2.5 billion aggregate principal amount may be borrowed through July 2031.</w:t>
      </w:r>
    </w:p>
    <w:p>
      <w:pPr>
        <w:pStyle w:val="BodyText"/>
      </w:pPr>
      <w:r>
        <w:t xml:space="preserve">This is the culmination of the investment-grade push flagged on the Q1 call, where the CFO said the company continue[s] to be committed to becoming an investment-grade issuer and anticipate[s] making our inaugural investment-grade bond issuance at some point in 2026. Key questions for the Q2 call: What's the pro forma weighted average cost of debt and net interest expense now that secured debt has largely been swapped for unsecured notes? Does the Nov-2026 ABS maturity ($1.165B, previously assumed to refinance at 5.25%) still get refinanced as planned, or does the new unsecured facility change that math? And where does leverage now sit relative to the</w:t>
      </w:r>
      <w:r>
        <w:t xml:space="preserve"> </w:t>
      </w:r>
      <w:r>
        <w:rPr>
          <w:b/>
          <w:bCs/>
        </w:rPr>
        <w:t xml:space="preserve">6.0x–7.0x</w:t>
      </w:r>
      <w:r>
        <w:t xml:space="preserve"> </w:t>
      </w:r>
      <w:r>
        <w:t xml:space="preserve">target range (6.6x as of Q1)?</w:t>
      </w:r>
    </w:p>
    <w:bookmarkEnd w:id="11"/>
    <w:bookmarkStart w:id="12" w:name="Xd35b645362ae55410fc86eb96f80124c93e88be"/>
    <w:p>
      <w:pPr>
        <w:pStyle w:val="Heading2"/>
      </w:pPr>
      <w:r>
        <w:t xml:space="preserve">4. The Sector-Wide Overhang: EchoStar/DISH</w:t>
      </w:r>
    </w:p>
    <w:p>
      <w:pPr>
        <w:pStyle w:val="FirstParagraph"/>
      </w:pPr>
      <w:r>
        <w:t xml:space="preserve">This is arguably the most important theme for the whole tower sector right now, not just SBAC. EchoStar/DISH Wireless has disputed lease obligations to tower companies, and litigation and a DISH Wireless bankruptcy process are ongoing. Recent reporting indicates a federal judge ruled that</w:t>
      </w:r>
      <w:r>
        <w:t xml:space="preserve"> </w:t>
      </w:r>
      <w:r>
        <w:rPr>
          <w:b/>
          <w:bCs/>
        </w:rPr>
        <w:t xml:space="preserve">tower creditors — including Crown Castle and American Tower, which together allege more than</w:t>
      </w:r>
      <w:r>
        <w:rPr>
          <w:b/>
          <w:bCs/>
        </w:rPr>
        <w:t xml:space="preserve"> </w:t>
      </w:r>
      <m:oMath>
        <m:r>
          <m:t>5.5</m:t>
        </m:r>
        <m:r>
          <m:t>b</m:t>
        </m:r>
        <m:r>
          <m:t>i</m:t>
        </m:r>
        <m:r>
          <m:t>l</m:t>
        </m:r>
        <m:r>
          <m:t>l</m:t>
        </m:r>
        <m:r>
          <m:t>i</m:t>
        </m:r>
        <m:r>
          <m:t>o</m:t>
        </m:r>
        <m:r>
          <m:t>n</m:t>
        </m:r>
        <m:r>
          <m:t>u</m:t>
        </m:r>
        <m:r>
          <m:t>n</m:t>
        </m:r>
        <m:r>
          <m:t>p</m:t>
        </m:r>
        <m:r>
          <m:t>a</m:t>
        </m:r>
        <m:r>
          <m:t>i</m:t>
        </m:r>
        <m:r>
          <m:t>d</m:t>
        </m:r>
        <m:r>
          <m:rPr>
            <m:sty m:val="p"/>
          </m:rPr>
          <m:t>—</m:t>
        </m:r>
        <m:r>
          <m:t>a</m:t>
        </m:r>
        <m:r>
          <m:t>r</m:t>
        </m:r>
        <m:r>
          <m:t>e</m:t>
        </m:r>
        <m:r>
          <m:t>e</m:t>
        </m:r>
        <m:r>
          <m:t>n</m:t>
        </m:r>
        <m:r>
          <m:t>t</m:t>
        </m:r>
        <m:r>
          <m:t>i</m:t>
        </m:r>
        <m:r>
          <m:t>t</m:t>
        </m:r>
        <m:r>
          <m:t>l</m:t>
        </m:r>
        <m:r>
          <m:t>e</m:t>
        </m:r>
        <m:r>
          <m:t>d</m:t>
        </m:r>
        <m:r>
          <m:t>t</m:t>
        </m:r>
        <m:r>
          <m:t>o</m:t>
        </m:r>
        <m:r>
          <m:t>d</m:t>
        </m:r>
        <m:r>
          <m:t>i</m:t>
        </m:r>
        <m:r>
          <m:t>s</m:t>
        </m:r>
        <m:r>
          <m:t>c</m:t>
        </m:r>
        <m:r>
          <m:t>o</m:t>
        </m:r>
        <m:r>
          <m:t>v</m:t>
        </m:r>
        <m:r>
          <m:t>e</m:t>
        </m:r>
        <m:r>
          <m:t>r</m:t>
        </m:r>
        <m:r>
          <m:t>y</m:t>
        </m:r>
        <m:r>
          <m:t>b</m:t>
        </m:r>
        <m:r>
          <m:t>e</m:t>
        </m:r>
        <m:r>
          <m:t>f</m:t>
        </m:r>
        <m:r>
          <m:t>o</m:t>
        </m:r>
        <m:r>
          <m:t>r</m:t>
        </m:r>
        <m:r>
          <m:t>e</m:t>
        </m:r>
        <m:r>
          <m:t>a</m:t>
        </m:r>
        <m:r>
          <m:t>n</m:t>
        </m:r>
        <m:r>
          <m:t>y</m:t>
        </m:r>
        <m:r>
          <m:t>a</m:t>
        </m:r>
        <m:r>
          <m:t>u</m:t>
        </m:r>
        <m:r>
          <m:t>c</m:t>
        </m:r>
        <m:r>
          <m:t>t</m:t>
        </m:r>
        <m:r>
          <m:t>i</m:t>
        </m:r>
        <m:r>
          <m:t>o</m:t>
        </m:r>
        <m:r>
          <m:t>n</m:t>
        </m:r>
        <m:r>
          <m:rPr>
            <m:sty m:val="p"/>
          </m:rPr>
          <m:t>*</m:t>
        </m:r>
        <m:r>
          <m:rPr>
            <m:sty m:val="p"/>
          </m:rPr>
          <m:t>*</m:t>
        </m:r>
        <m:r>
          <m:t>i</m:t>
        </m:r>
        <m:r>
          <m:t>n</m:t>
        </m:r>
        <m:r>
          <m:t>t</m:t>
        </m:r>
        <m:r>
          <m:t>h</m:t>
        </m:r>
        <m:r>
          <m:t>e</m:t>
        </m:r>
        <m:r>
          <m:t>D</m:t>
        </m:r>
        <m:r>
          <m:t>I</m:t>
        </m:r>
        <m:r>
          <m:t>S</m:t>
        </m:r>
        <m:r>
          <m:t>H</m:t>
        </m:r>
        <m:r>
          <m:t>W</m:t>
        </m:r>
        <m:r>
          <m:t>i</m:t>
        </m:r>
        <m:r>
          <m:t>r</m:t>
        </m:r>
        <m:r>
          <m:t>e</m:t>
        </m:r>
        <m:r>
          <m:t>l</m:t>
        </m:r>
        <m:r>
          <m:t>e</m:t>
        </m:r>
        <m:r>
          <m:t>s</m:t>
        </m:r>
        <m:r>
          <m:t>s</m:t>
        </m:r>
        <m:r>
          <m:t>b</m:t>
        </m:r>
        <m:r>
          <m:t>a</m:t>
        </m:r>
        <m:r>
          <m:t>n</m:t>
        </m:r>
        <m:r>
          <m:t>k</m:t>
        </m:r>
        <m:r>
          <m:t>r</m:t>
        </m:r>
        <m:r>
          <m:t>u</m:t>
        </m:r>
        <m:r>
          <m:t>p</m:t>
        </m:r>
        <m:r>
          <m:t>t</m:t>
        </m:r>
        <m:r>
          <m:t>c</m:t>
        </m:r>
        <m:r>
          <m:t>y</m:t>
        </m:r>
        <m:r>
          <m:rPr>
            <m:sty m:val="p"/>
          </m:rPr>
          <m:t>,</m:t>
        </m:r>
        <m:r>
          <m:t>a</m:t>
        </m:r>
        <m:r>
          <m:t>n</m:t>
        </m:r>
        <m:r>
          <m:t>d</m:t>
        </m:r>
        <m:r>
          <m:t>i</m:t>
        </m:r>
        <m:r>
          <m:t>n</m:t>
        </m:r>
        <m:r>
          <m:t>d</m:t>
        </m:r>
        <m:r>
          <m:t>u</m:t>
        </m:r>
        <m:r>
          <m:t>s</m:t>
        </m:r>
        <m:r>
          <m:t>t</m:t>
        </m:r>
        <m:r>
          <m:t>r</m:t>
        </m:r>
        <m:r>
          <m:t>y</m:t>
        </m:r>
        <m:r>
          <m:t>g</m:t>
        </m:r>
        <m:r>
          <m:t>r</m:t>
        </m:r>
        <m:r>
          <m:t>o</m:t>
        </m:r>
        <m:r>
          <m:t>u</m:t>
        </m:r>
        <m:r>
          <m:t>p</m:t>
        </m:r>
        <m:r>
          <m:t>W</m:t>
        </m:r>
        <m:r>
          <m:t>I</m:t>
        </m:r>
        <m:r>
          <m:t>A</m:t>
        </m:r>
        <m:r>
          <m:t>h</m:t>
        </m:r>
        <m:r>
          <m:t>a</m:t>
        </m:r>
        <m:r>
          <m:t>s</m:t>
        </m:r>
        <m:r>
          <m:t>w</m:t>
        </m:r>
        <m:r>
          <m:t>a</m:t>
        </m:r>
        <m:r>
          <m:t>r</m:t>
        </m:r>
        <m:r>
          <m:t>n</m:t>
        </m:r>
        <m:r>
          <m:t>e</m:t>
        </m:r>
        <m:r>
          <m:t>d</m:t>
        </m:r>
        <m:r>
          <m:t>t</m:t>
        </m:r>
        <m:r>
          <m:t>h</m:t>
        </m:r>
        <m:r>
          <m:t>e</m:t>
        </m:r>
        <m:r>
          <m:t>d</m:t>
        </m:r>
        <m:r>
          <m:t>i</m:t>
        </m:r>
        <m:r>
          <m:t>s</m:t>
        </m:r>
        <m:r>
          <m:t>p</m:t>
        </m:r>
        <m:r>
          <m:t>u</m:t>
        </m:r>
        <m:r>
          <m:t>t</m:t>
        </m:r>
        <m:r>
          <m:t>e</m:t>
        </m:r>
        <m:r>
          <m:t>c</m:t>
        </m:r>
        <m:r>
          <m:t>o</m:t>
        </m:r>
        <m:r>
          <m:t>u</m:t>
        </m:r>
        <m:r>
          <m:t>l</m:t>
        </m:r>
        <m:r>
          <m:t>d</m:t>
        </m:r>
        <m:r>
          <m:t>c</m:t>
        </m:r>
        <m:r>
          <m:t>o</m:t>
        </m:r>
        <m:r>
          <m:t>s</m:t>
        </m:r>
        <m:r>
          <m:t>t</m:t>
        </m:r>
        <m:r>
          <m:t>t</m:t>
        </m:r>
        <m:r>
          <m:t>h</m:t>
        </m:r>
        <m:r>
          <m:t>e</m:t>
        </m:r>
        <m:r>
          <m:t>t</m:t>
        </m:r>
        <m:r>
          <m:t>o</m:t>
        </m:r>
        <m:r>
          <m:t>w</m:t>
        </m:r>
        <m:r>
          <m:t>e</m:t>
        </m:r>
        <m:r>
          <m:t>r</m:t>
        </m:r>
        <m:r>
          <m:t>i</m:t>
        </m:r>
        <m:r>
          <m:t>n</m:t>
        </m:r>
        <m:r>
          <m:t>d</m:t>
        </m:r>
        <m:r>
          <m:t>u</m:t>
        </m:r>
        <m:r>
          <m:t>s</m:t>
        </m:r>
        <m:r>
          <m:t>t</m:t>
        </m:r>
        <m:r>
          <m:t>r</m:t>
        </m:r>
        <m:r>
          <m:t>y</m:t>
        </m:r>
        <m:r>
          <m:t>r</m:t>
        </m:r>
        <m:r>
          <m:t>o</m:t>
        </m:r>
        <m:r>
          <m:t>u</m:t>
        </m:r>
        <m:r>
          <m:t>g</m:t>
        </m:r>
        <m:r>
          <m:t>h</m:t>
        </m:r>
        <m:r>
          <m:t>l</m:t>
        </m:r>
        <m:r>
          <m:t>y</m:t>
        </m:r>
        <m:r>
          <m:rPr>
            <m:sty m:val="p"/>
          </m:rPr>
          <m:t>*</m:t>
        </m:r>
        <m:r>
          <m:rPr>
            <m:sty m:val="p"/>
          </m:rPr>
          <m:t>*</m:t>
        </m:r>
      </m:oMath>
      <w:r>
        <w:rPr>
          <w:b/>
          <w:bCs/>
        </w:rPr>
        <w:t xml:space="preserve">9 billion</w:t>
      </w:r>
      <w:r>
        <w:t xml:space="preserve">. On July 14, a separate ruling ended EchoStar's obligation to build its own facilities-based wireless network, though the broader payment dispute continues elsewhere.</w:t>
      </w:r>
    </w:p>
    <w:p>
      <w:pPr>
        <w:pStyle w:val="BodyText"/>
      </w:pPr>
      <w:r>
        <w:t xml:space="preserve">Notably, Barclays recently downgraded American Tower and Crown Castle to Equal Weight on rising uncertainty over EchoStar-related rent collection, while keeping SBA Communications at Overweight with a</w:t>
      </w:r>
      <w:r>
        <w:t xml:space="preserve"> </w:t>
      </w:r>
      <w:r>
        <w:rPr>
          <w:b/>
          <w:bCs/>
        </w:rPr>
        <w:t xml:space="preserve">$212 price target**, arguing SBAC "faces fewer headline risks even as it factors earlier churn from EchoStar into its forecasts." On the Q1 call, CEO Brendan Cavanagh reiterated that with regard to EchoStar, we continue to litigate the matter in federal court and believe strongly in our contractual rights, and that the prior outlook for both Sprint and EchoStar-related churn for the year remains unchanged. Investors should listen closely for any change in tone here, given the DISH Wireless bankruptcy has advanced materially since April. SBA's FY26 bridge already bakes in **$</w:t>
      </w:r>
      <w:r>
        <w:rPr>
          <w:b/>
          <w:bCs/>
        </w:rPr>
        <w:t xml:space="preserve">56 million of EchoStar churn and $56 million of Sprint consolidation churn</w:t>
      </w:r>
      <w:r>
        <w:t xml:space="preserve">, both domestic — watch for any revision to these assumptions.</w:t>
      </w:r>
    </w:p>
    <w:bookmarkEnd w:id="12"/>
    <w:bookmarkStart w:id="13" w:name="Xbfb35783ad21310748edeeb80471f9454c0b222"/>
    <w:p>
      <w:pPr>
        <w:pStyle w:val="Heading2"/>
      </w:pPr>
      <w:r>
        <w:t xml:space="preserve">5. Peer Read-Throughs (AMT, CCI Already Reported)</w:t>
      </w:r>
    </w:p>
    <w:p>
      <w:pPr>
        <w:pStyle w:val="FirstParagraph"/>
      </w:pPr>
      <w:r>
        <w:t xml:space="preserve">Both large-cap peers reported ahead of SBA and both showed healthy underlying leasing demand:</w:t>
      </w:r>
    </w:p>
    <w:p>
      <w:pPr>
        <w:pStyle w:val="Compact"/>
        <w:numPr>
          <w:ilvl w:val="0"/>
          <w:numId w:val="1001"/>
        </w:numPr>
      </w:pPr>
      <w:r>
        <w:rPr>
          <w:b/>
          <w:bCs/>
        </w:rPr>
        <w:t xml:space="preserve">Crown Castle</w:t>
      </w:r>
      <w:r>
        <w:t xml:space="preserve"> </w:t>
      </w:r>
      <w:r>
        <w:t xml:space="preserve">reported Q2 AFFO/share of</w:t>
      </w:r>
      <w:r>
        <w:t xml:space="preserve"> </w:t>
      </w:r>
      <w:r>
        <w:rPr>
          <w:b/>
          <w:bCs/>
        </w:rPr>
        <w:t xml:space="preserve">$1.13, beating consensus of $1.05</w:t>
      </w:r>
      <w:r>
        <w:t xml:space="preserve">, while maintaining full-year guidance essentially unchanged.</w:t>
      </w:r>
    </w:p>
    <w:p>
      <w:pPr>
        <w:pStyle w:val="Compact"/>
        <w:numPr>
          <w:ilvl w:val="0"/>
          <w:numId w:val="1001"/>
        </w:numPr>
      </w:pPr>
      <w:r>
        <w:rPr>
          <w:b/>
          <w:bCs/>
        </w:rPr>
        <w:t xml:space="preserve">American Tower</w:t>
      </w:r>
      <w:r>
        <w:t xml:space="preserve"> </w:t>
      </w:r>
      <w:r>
        <w:t xml:space="preserve">reported AFFO/share of</w:t>
      </w:r>
      <w:r>
        <w:t xml:space="preserve"> </w:t>
      </w:r>
      <w:r>
        <w:rPr>
          <w:b/>
          <w:bCs/>
        </w:rPr>
        <w:t xml:space="preserve">$2.71, slightly below the Street's</w:t>
      </w:r>
      <w:r>
        <w:rPr>
          <w:b/>
          <w:bCs/>
        </w:rPr>
        <w:t xml:space="preserve"> </w:t>
      </w:r>
      <m:oMath>
        <m:r>
          <m:t>2.73</m:t>
        </m:r>
        <m:r>
          <m:rPr>
            <m:sty m:val="p"/>
          </m:rPr>
          <m:t>*</m:t>
        </m:r>
        <m:r>
          <m:rPr>
            <m:sty m:val="p"/>
          </m:rPr>
          <m:t>*</m:t>
        </m:r>
        <m:r>
          <m:rPr>
            <m:sty m:val="p"/>
          </m:rPr>
          <m:t>,</m:t>
        </m:r>
        <m:r>
          <m:t>t</m:t>
        </m:r>
        <m:r>
          <m:t>h</m:t>
        </m:r>
        <m:r>
          <m:t>o</m:t>
        </m:r>
        <m:r>
          <m:t>u</m:t>
        </m:r>
        <m:r>
          <m:t>g</m:t>
        </m:r>
        <m:r>
          <m:t>h</m:t>
        </m:r>
        <m:r>
          <m:t>E</m:t>
        </m:r>
        <m:r>
          <m:t>B</m:t>
        </m:r>
        <m:r>
          <m:t>I</m:t>
        </m:r>
        <m:r>
          <m:t>T</m:t>
        </m:r>
        <m:r>
          <m:t>D</m:t>
        </m:r>
        <m:r>
          <m:t>A</m:t>
        </m:r>
        <m:r>
          <m:t>a</m:t>
        </m:r>
        <m:r>
          <m:t>n</m:t>
        </m:r>
        <m:r>
          <m:t>d</m:t>
        </m:r>
        <m:r>
          <m:t>r</m:t>
        </m:r>
        <m:r>
          <m:t>e</m:t>
        </m:r>
        <m:r>
          <m:t>v</m:t>
        </m:r>
        <m:r>
          <m:t>e</m:t>
        </m:r>
        <m:r>
          <m:t>n</m:t>
        </m:r>
        <m:r>
          <m:t>u</m:t>
        </m:r>
        <m:r>
          <m:t>e</m:t>
        </m:r>
        <m:r>
          <m:t>e</m:t>
        </m:r>
        <m:r>
          <m:t>x</m:t>
        </m:r>
        <m:r>
          <m:t>c</m:t>
        </m:r>
        <m:r>
          <m:t>e</m:t>
        </m:r>
        <m:r>
          <m:t>e</m:t>
        </m:r>
        <m:r>
          <m:t>d</m:t>
        </m:r>
        <m:r>
          <m:t>e</m:t>
        </m:r>
        <m:r>
          <m:t>d</m:t>
        </m:r>
        <m:r>
          <m:t>e</m:t>
        </m:r>
        <m:r>
          <m:t>x</m:t>
        </m:r>
        <m:r>
          <m:t>p</m:t>
        </m:r>
        <m:r>
          <m:t>e</m:t>
        </m:r>
        <m:r>
          <m:t>c</m:t>
        </m:r>
        <m:r>
          <m:t>t</m:t>
        </m:r>
        <m:r>
          <m:t>a</m:t>
        </m:r>
        <m:r>
          <m:t>t</m:t>
        </m:r>
        <m:r>
          <m:t>i</m:t>
        </m:r>
        <m:r>
          <m:t>o</m:t>
        </m:r>
        <m:r>
          <m:t>n</m:t>
        </m:r>
        <m:r>
          <m:t>s</m:t>
        </m:r>
        <m:r>
          <m:rPr>
            <m:sty m:val="p"/>
          </m:rPr>
          <m:t>,</m:t>
        </m:r>
        <m:r>
          <m:t>a</m:t>
        </m:r>
        <m:r>
          <m:t>n</m:t>
        </m:r>
        <m:r>
          <m:t>d</m:t>
        </m:r>
        <m:r>
          <m:t>i</m:t>
        </m:r>
        <m:r>
          <m:t>t</m:t>
        </m:r>
        <m:r>
          <m:t>r</m:t>
        </m:r>
        <m:r>
          <m:t>a</m:t>
        </m:r>
        <m:r>
          <m:t>i</m:t>
        </m:r>
        <m:r>
          <m:t>s</m:t>
        </m:r>
        <m:r>
          <m:t>e</m:t>
        </m:r>
        <m:r>
          <m:t>d</m:t>
        </m:r>
        <m:r>
          <m:t>f</m:t>
        </m:r>
        <m:r>
          <m:t>u</m:t>
        </m:r>
        <m:r>
          <m:t>l</m:t>
        </m:r>
        <m:r>
          <m:t>l</m:t>
        </m:r>
        <m:r>
          <m:rPr>
            <m:sty m:val="p"/>
          </m:rPr>
          <m:t>−</m:t>
        </m:r>
        <m:r>
          <m:t>y</m:t>
        </m:r>
        <m:r>
          <m:t>e</m:t>
        </m:r>
        <m:r>
          <m:t>a</m:t>
        </m:r>
        <m:r>
          <m:t>r</m:t>
        </m:r>
        <m:r>
          <m:t>A</m:t>
        </m:r>
        <m:r>
          <m:t>F</m:t>
        </m:r>
        <m:r>
          <m:t>F</m:t>
        </m:r>
        <m:r>
          <m:t>O</m:t>
        </m:r>
        <m:r>
          <m:t>g</m:t>
        </m:r>
        <m:r>
          <m:t>u</m:t>
        </m:r>
        <m:r>
          <m:t>i</m:t>
        </m:r>
        <m:r>
          <m:t>d</m:t>
        </m:r>
        <m:r>
          <m:t>a</m:t>
        </m:r>
        <m:r>
          <m:t>n</m:t>
        </m:r>
        <m:r>
          <m:t>c</m:t>
        </m:r>
        <m:r>
          <m:t>e</m:t>
        </m:r>
        <m:r>
          <m:t>t</m:t>
        </m:r>
        <m:r>
          <m:t>o</m:t>
        </m:r>
        <m:r>
          <m:rPr>
            <m:sty m:val="p"/>
          </m:rPr>
          <m:t>*</m:t>
        </m:r>
        <m:r>
          <m:rPr>
            <m:sty m:val="p"/>
          </m:rPr>
          <m:t>*</m:t>
        </m:r>
      </m:oMath>
      <w:r>
        <w:rPr>
          <w:b/>
          <w:bCs/>
        </w:rPr>
        <w:t xml:space="preserve">11.00–$11.17</w:t>
      </w:r>
      <w:r>
        <w:t xml:space="preserve"> </w:t>
      </w:r>
      <w:r>
        <w:t xml:space="preserve">from</w:t>
      </w:r>
      <w:r>
        <w:t xml:space="preserve"> </w:t>
      </w:r>
      <m:oMath>
        <m:r>
          <m:t>10.90</m:t>
        </m:r>
        <m:r>
          <m:rPr>
            <m:sty m:val="p"/>
          </m:rPr>
          <m:t>–</m:t>
        </m:r>
      </m:oMath>
      <w:r>
        <w:t xml:space="preserve">11.07, citing robust global leasing demand and record CoreSite activity.</w:t>
      </w:r>
    </w:p>
    <w:p>
      <w:pPr>
        <w:pStyle w:val="FirstParagraph"/>
      </w:pPr>
      <w:r>
        <w:t xml:space="preserve">This is a generally constructive read for domestic/international carrier activity levels heading into SBAC's print, though EchoStar-related noise clouds the comparability of headline growth rates.</w:t>
      </w:r>
    </w:p>
    <w:bookmarkEnd w:id="13"/>
    <w:bookmarkStart w:id="14" w:name="X20ba6fb1a90d09ddad546d01622ba81988fe8d7"/>
    <w:p>
      <w:pPr>
        <w:pStyle w:val="Heading2"/>
      </w:pPr>
      <w:r>
        <w:t xml:space="preserve">6. Other Threads to Watch on the Call</w:t>
      </w:r>
    </w:p>
    <w:p>
      <w:pPr>
        <w:pStyle w:val="Compact"/>
        <w:numPr>
          <w:ilvl w:val="0"/>
          <w:numId w:val="1002"/>
        </w:numPr>
      </w:pPr>
      <w:r>
        <w:rPr>
          <w:b/>
          <w:bCs/>
        </w:rPr>
        <w:t xml:space="preserve">Domestic leasing backlog</w:t>
      </w:r>
      <w:r>
        <w:t xml:space="preserve">: Management said backlog grew from Q4 to Q1 levels — that increase, I would categorize as moderate... it's actually replenishing faster and at a higher rate than it's being used, pointing to steady, not accelerating, US activity for the year. Watch for a Q2 backlog update and any commentary tied to the upper C-band auction (expected mid-2027) and early 5G/6G hardware upgrade cycles.</w:t>
      </w:r>
    </w:p>
    <w:p>
      <w:pPr>
        <w:pStyle w:val="Compact"/>
        <w:numPr>
          <w:ilvl w:val="0"/>
          <w:numId w:val="1002"/>
        </w:numPr>
      </w:pPr>
      <w:r>
        <w:rPr>
          <w:b/>
          <w:bCs/>
        </w:rPr>
        <w:t xml:space="preserve">Central America / Millicom build-out</w:t>
      </w:r>
      <w:r>
        <w:t xml:space="preserve">: SBA built</w:t>
      </w:r>
      <w:r>
        <w:t xml:space="preserve"> </w:t>
      </w:r>
      <w:r>
        <w:rPr>
          <w:b/>
          <w:bCs/>
        </w:rPr>
        <w:t xml:space="preserve">80 towers</w:t>
      </w:r>
      <w:r>
        <w:t xml:space="preserve"> </w:t>
      </w:r>
      <w:r>
        <w:t xml:space="preserve">in Q1 (mostly international) and management said Millicom colocation demand is</w:t>
      </w:r>
      <w:r>
        <w:t xml:space="preserve"> </w:t>
      </w:r>
      <w:r>
        <w:rPr>
          <w:b/>
          <w:bCs/>
        </w:rPr>
        <w:t xml:space="preserve">"exceeding our initial lease-up projections."</w:t>
      </w:r>
      <w:r>
        <w:t xml:space="preserve"> </w:t>
      </w:r>
      <w:r>
        <w:t xml:space="preserve">Watch for confirmation that new-build pace is accelerating as guided.</w:t>
      </w:r>
    </w:p>
    <w:p>
      <w:pPr>
        <w:pStyle w:val="Compact"/>
        <w:numPr>
          <w:ilvl w:val="0"/>
          <w:numId w:val="1002"/>
        </w:numPr>
      </w:pPr>
      <w:r>
        <w:rPr>
          <w:b/>
          <w:bCs/>
        </w:rPr>
        <w:t xml:space="preserve">Mobile edge compute</w:t>
      </w:r>
      <w:r>
        <w:t xml:space="preserve">: An emerging, still-small optionality story (AI inference at tower sites); management has been careful not to give financial timing, but incremental color would be useful.</w:t>
      </w:r>
    </w:p>
    <w:p>
      <w:pPr>
        <w:pStyle w:val="Compact"/>
        <w:numPr>
          <w:ilvl w:val="0"/>
          <w:numId w:val="1002"/>
        </w:numPr>
      </w:pPr>
      <w:r>
        <w:rPr>
          <w:b/>
          <w:bCs/>
        </w:rPr>
        <w:t xml:space="preserve">Capital allocation / buybacks</w:t>
      </w:r>
      <w:r>
        <w:t xml:space="preserve">: SBA did minimal repurchases in Q1 while paying down the revolver; with $1.1 billion of authorization remaining and IG financing now done, does capital return activity pick back up in Q2/Q3?</w:t>
      </w:r>
    </w:p>
    <w:p>
      <w:pPr>
        <w:pStyle w:val="Compact"/>
        <w:numPr>
          <w:ilvl w:val="0"/>
          <w:numId w:val="1002"/>
        </w:numPr>
      </w:pPr>
      <w:r>
        <w:rPr>
          <w:b/>
          <w:bCs/>
        </w:rPr>
        <w:t xml:space="preserve">Take-private speculation</w:t>
      </w:r>
      <w:r>
        <w:t xml:space="preserve">: On the Q1 call, an analyst directly asked about press reports of PE interest in acquiring SBA (with one report citing a</w:t>
      </w:r>
      <w:r>
        <w:t xml:space="preserve"> </w:t>
      </w:r>
      <w:r>
        <w:rPr>
          <w:b/>
          <w:bCs/>
        </w:rPr>
        <w:t xml:space="preserve">$250/share</w:t>
      </w:r>
      <w:r>
        <w:t xml:space="preserve"> </w:t>
      </w:r>
      <w:r>
        <w:t xml:space="preserve">figure). Management declined to comment beyond generic language about always evaluating shareholder-value-maximizing options. Any incremental news flow here could move the stock regardless of the operating print.</w:t>
      </w:r>
    </w:p>
    <w:p>
      <w:pPr>
        <w:pStyle w:val="Compact"/>
        <w:numPr>
          <w:ilvl w:val="0"/>
          <w:numId w:val="1002"/>
        </w:numPr>
      </w:pPr>
      <w:r>
        <w:rPr>
          <w:b/>
          <w:bCs/>
        </w:rPr>
        <w:t xml:space="preserve">Guidance cadence</w:t>
      </w:r>
      <w:r>
        <w:t xml:space="preserve">: SBA raised guidance in February and again in April; a further raise (or a hold, given EchoStar bankruptcy uncertainty) will be a key swing factor for the stock reaction.</w:t>
      </w:r>
    </w:p>
    <w:bookmarkEnd w:id="14"/>
    <w:bookmarkStart w:id="15" w:name="Xdf8399299190ad90f6030858cefed4790ce706b"/>
    <w:p>
      <w:pPr>
        <w:pStyle w:val="Heading2"/>
      </w:pPr>
      <w:r>
        <w:t xml:space="preserve">7. Key Numbers to Track Against Consensus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Q1 2026 Actual</w:t>
            </w:r>
          </w:p>
        </w:tc>
        <w:tc>
          <w:tcPr/>
          <w:p>
            <w:pPr>
              <w:pStyle w:val="Compact"/>
            </w:pPr>
            <w:r>
              <w:t xml:space="preserve">FY2026 Guidance (as of April)</w:t>
            </w:r>
          </w:p>
        </w:tc>
        <w:tc>
          <w:tcPr/>
          <w:p>
            <w:pPr>
              <w:pStyle w:val="Compact"/>
            </w:pPr>
            <w:r>
              <w:t xml:space="preserve">Q2 2026 Street Estimate</w:t>
            </w:r>
          </w:p>
        </w:tc>
      </w:tr>
      <w:tr>
        <w:tc>
          <w:tcPr/>
          <w:p>
            <w:pPr>
              <w:pStyle w:val="Compact"/>
            </w:pPr>
            <w:r>
              <w:t xml:space="preserve">Site leasing revenue</w:t>
            </w:r>
          </w:p>
        </w:tc>
        <w:tc>
          <w:tcPr/>
          <w:p>
            <w:pPr>
              <w:pStyle w:val="Compact"/>
            </w:pPr>
            <w:r>
              <w:t xml:space="preserve">$656.1M</w:t>
            </w:r>
          </w:p>
        </w:tc>
        <w:tc>
          <w:tcPr/>
          <w:p>
            <w:pPr>
              <w:pStyle w:val="Compact"/>
            </w:pPr>
            <m:oMath>
              <m:r>
                <m:t>2</m:t>
              </m:r>
              <m:r>
                <m:rPr>
                  <m:sty m:val="p"/>
                </m:rPr>
                <m:t>,</m:t>
              </m:r>
              <m:r>
                <m:t>649</m:t>
              </m:r>
              <m:r>
                <m:t>M</m:t>
              </m:r>
              <m:r>
                <m:rPr>
                  <m:sty m:val="p"/>
                </m:rPr>
                <m:t>–</m:t>
              </m:r>
            </m:oMath>
            <w:r>
              <w:t xml:space="preserve">2,674M</w:t>
            </w:r>
          </w:p>
        </w:tc>
        <w:tc>
          <w:tcPr/>
          <w:p>
            <w:pPr>
              <w:pStyle w:val="Compact"/>
            </w:pPr>
            <w:r>
              <w:t xml:space="preserve">~$658M (Zacks)</w:t>
            </w:r>
          </w:p>
        </w:tc>
      </w:tr>
      <w:tr>
        <w:tc>
          <w:tcPr/>
          <w:p>
            <w:pPr>
              <w:pStyle w:val="Compact"/>
            </w:pPr>
            <w:r>
              <w:t xml:space="preserve">Total revenue</w:t>
            </w:r>
          </w:p>
        </w:tc>
        <w:tc>
          <w:tcPr/>
          <w:p>
            <w:pPr>
              <w:pStyle w:val="Compact"/>
            </w:pPr>
            <w:r>
              <w:t xml:space="preserve">$703.4M</w:t>
            </w:r>
          </w:p>
        </w:tc>
        <w:tc>
          <w:tcPr/>
          <w:p>
            <w:pPr>
              <w:pStyle w:val="Compact"/>
            </w:pPr>
            <m:oMath>
              <m:r>
                <m:t>2</m:t>
              </m:r>
              <m:r>
                <m:rPr>
                  <m:sty m:val="p"/>
                </m:rPr>
                <m:t>,</m:t>
              </m:r>
              <m:r>
                <m:t>839</m:t>
              </m:r>
              <m:r>
                <m:t>M</m:t>
              </m:r>
              <m:r>
                <m:rPr>
                  <m:sty m:val="p"/>
                </m:rPr>
                <m:t>–</m:t>
              </m:r>
            </m:oMath>
            <w:r>
              <w:t xml:space="preserve">2,884M</w:t>
            </w:r>
          </w:p>
        </w:tc>
        <w:tc>
          <w:tcPr/>
          <w:p>
            <w:pPr>
              <w:pStyle w:val="Compact"/>
            </w:pPr>
            <w:r>
              <w:t xml:space="preserve">~$703M</w:t>
            </w:r>
          </w:p>
        </w:tc>
      </w:tr>
      <w:tr>
        <w:tc>
          <w:tcPr/>
          <w:p>
            <w:pPr>
              <w:pStyle w:val="Compact"/>
            </w:pPr>
            <w:r>
              <w:t xml:space="preserve">AFFO/share</w:t>
            </w:r>
          </w:p>
        </w:tc>
        <w:tc>
          <w:tcPr/>
          <w:p>
            <w:pPr>
              <w:pStyle w:val="Compact"/>
            </w:pPr>
            <w:r>
              <w:t xml:space="preserve">$3.03</w:t>
            </w:r>
          </w:p>
        </w:tc>
        <w:tc>
          <w:tcPr/>
          <w:p>
            <w:pPr>
              <w:pStyle w:val="Compact"/>
            </w:pPr>
            <m:oMath>
              <m:r>
                <m:t>11.93</m:t>
              </m:r>
              <m:r>
                <m:rPr>
                  <m:sty m:val="p"/>
                </m:rPr>
                <m:t>–</m:t>
              </m:r>
            </m:oMath>
            <w:r>
              <w:t xml:space="preserve">12.38</w:t>
            </w:r>
          </w:p>
        </w:tc>
        <w:tc>
          <w:tcPr/>
          <w:p>
            <w:pPr>
              <w:pStyle w:val="Compact"/>
            </w:pPr>
            <w:r>
              <w:t xml:space="preserve">~$2.96</w:t>
            </w:r>
          </w:p>
        </w:tc>
      </w:tr>
      <w:tr>
        <w:tc>
          <w:tcPr/>
          <w:p>
            <w:pPr>
              <w:pStyle w:val="Compact"/>
            </w:pPr>
            <w:r>
              <w:t xml:space="preserve">Net debt/EBITDA</w:t>
            </w:r>
          </w:p>
        </w:tc>
        <w:tc>
          <w:tcPr/>
          <w:p>
            <w:pPr>
              <w:pStyle w:val="Compact"/>
            </w:pPr>
            <w:r>
              <w:t xml:space="preserve">6.6x</w:t>
            </w:r>
          </w:p>
        </w:tc>
        <w:tc>
          <w:tcPr/>
          <w:p>
            <w:pPr>
              <w:pStyle w:val="Compact"/>
            </w:pPr>
            <w:r>
              <w:t xml:space="preserve">Target range 6.0x–7.0x</w:t>
            </w:r>
          </w:p>
        </w:tc>
        <w:tc>
          <w:tcPr/>
          <w:p>
            <w:pPr>
              <w:pStyle w:val="Compact"/>
            </w:pPr>
            <w:r>
              <w:t xml:space="preserve">—</w:t>
            </w:r>
          </w:p>
        </w:tc>
      </w:tr>
    </w:tbl>
    <w:bookmarkEnd w:id="15"/>
    <w:bookmarkStart w:id="16" w:name="X59a56c4de27670f2623d3582f339eb306b624b0"/>
    <w:p>
      <w:pPr>
        <w:pStyle w:val="Heading2"/>
      </w:pPr>
      <w:r>
        <w:t xml:space="preserve">8. Bottom Line</w:t>
      </w:r>
    </w:p>
    <w:p>
      <w:pPr>
        <w:pStyle w:val="FirstParagraph"/>
      </w:pPr>
      <w:r>
        <w:t xml:space="preserve">Heading into Q2, SBAC's core operating story looks stable-to-improving: steady US backlog, strong international growth led by Central America/Millicom, and peer results (AMT, CCI) suggesting healthy carrier capex. The bigger swing factors for this print are</w:t>
      </w:r>
      <w:r>
        <w:t xml:space="preserve"> </w:t>
      </w:r>
      <w:r>
        <w:rPr>
          <w:b/>
          <w:bCs/>
        </w:rPr>
        <w:t xml:space="preserve">balance-sheet mechanics</w:t>
      </w:r>
      <w:r>
        <w:t xml:space="preserve"> </w:t>
      </w:r>
      <w:r>
        <w:t xml:space="preserve">(the freshly closed $3.5B unsecured notes deal and new revolver, and their effect on interest expense and leverage) and</w:t>
      </w:r>
      <w:r>
        <w:t xml:space="preserve"> </w:t>
      </w:r>
      <w:r>
        <w:rPr>
          <w:b/>
          <w:bCs/>
        </w:rPr>
        <w:t xml:space="preserve">EchoStar/DISH bankruptcy developments</w:t>
      </w:r>
      <w:r>
        <w:t xml:space="preserve">, which have escalated industry-wide since the Q1 call and are the most likely source of guidance risk or investor anxiety. Given the stock's ~20% pullback from April highs against a still-wide gap to average analyst price targets, the market reaction may hinge less on the AFFO beat/miss itself and more on management's tone regarding EchoStar cash collection risk and whether the FY26 outlook gets raised, held, or nuanced downward.</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2026-08-03T00:12:07Z</dcterms:created>
  <dcterms:modified xsi:type="dcterms:W3CDTF">2026-08-03T00:12:07Z</dcterms:modified>
</cp:coreProperties>
</file>

<file path=docProps/custom.xml><?xml version="1.0" encoding="utf-8"?>
<Properties xmlns="http://schemas.openxmlformats.org/officeDocument/2006/custom-properties" xmlns:vt="http://schemas.openxmlformats.org/officeDocument/2006/docPropsVTypes"/>
</file>