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sbac-q2-2026-earnings-preview"/>
    <w:p>
      <w:pPr>
        <w:pStyle w:val="Heading1"/>
      </w:pPr>
      <w:r>
        <w:t xml:space="preserve">SBAC Q2 2026 Earnings Preview</w:t>
      </w:r>
    </w:p>
    <w:p>
      <w:pPr>
        <w:pStyle w:val="BlockText"/>
      </w:pPr>
      <w:r>
        <w:rPr>
          <w:b/>
          <w:bCs/>
        </w:rPr>
        <w:t xml:space="preserve">Date clarification:</w:t>
      </w:r>
      <w:r>
        <w:t xml:space="preserve"> </w:t>
      </w:r>
      <w:r>
        <w:t xml:space="preserve">SBA Communications is scheduled to release Q2 results</w:t>
      </w:r>
      <w:r>
        <w:t xml:space="preserve"> </w:t>
      </w:r>
      <w:r>
        <w:rPr>
          <w:b/>
          <w:bCs/>
        </w:rPr>
        <w:t xml:space="preserve">today, Monday, August 3, 2026, after the market closes</w:t>
      </w:r>
      <w:r>
        <w:t xml:space="preserve">, followed by its earnings call at</w:t>
      </w:r>
      <w:r>
        <w:t xml:space="preserve"> </w:t>
      </w:r>
      <w:r>
        <w:rPr>
          <w:b/>
          <w:bCs/>
        </w:rPr>
        <w:t xml:space="preserve">5:00 p.m. ET</w:t>
      </w:r>
      <w:r>
        <w:t xml:space="preserve">—not tomorrow. (</w:t>
      </w:r>
      <w:hyperlink r:id="rId9">
        <w:r>
          <w:rPr>
            <w:rStyle w:val="Hyperlink"/>
          </w:rPr>
          <w:t xml:space="preserve">ir.sbasite.com</w:t>
        </w:r>
      </w:hyperlink>
      <w:r>
        <w:t xml:space="preserve">)</w:t>
      </w:r>
    </w:p>
    <w:bookmarkStart w:id="10" w:name="investment-view-going-into-the-report"/>
    <w:p>
      <w:pPr>
        <w:pStyle w:val="Heading2"/>
      </w:pPr>
      <w:r>
        <w:t xml:space="preserve">Investment view going into the report</w:t>
      </w:r>
    </w:p>
    <w:p>
      <w:pPr>
        <w:pStyle w:val="FirstParagraph"/>
      </w:pPr>
      <w:r>
        <w:t xml:space="preserve">The central question is not whether SBAC produces a modest quarterly beat. It is whether management can strengthen the case that</w:t>
      </w:r>
      <w:r>
        <w:t xml:space="preserve"> </w:t>
      </w:r>
      <w:r>
        <w:rPr>
          <w:b/>
          <w:bCs/>
        </w:rPr>
        <w:t xml:space="preserve">2026 represents the trough in AFFO-per-share growth</w:t>
      </w:r>
      <w:r>
        <w:t xml:space="preserve">, with improving domestic leasing, Millicom-driven international growth and lower refinancing risk setting up better results in 2027.</w:t>
      </w:r>
    </w:p>
    <w:p>
      <w:pPr>
        <w:pStyle w:val="BodyText"/>
      </w:pPr>
      <w:r>
        <w:t xml:space="preserve">The setup is mixed:</w:t>
      </w:r>
    </w:p>
    <w:p>
      <w:pPr>
        <w:pStyle w:val="Compact"/>
        <w:numPr>
          <w:ilvl w:val="0"/>
          <w:numId w:val="1001"/>
        </w:numPr>
      </w:pPr>
      <w:r>
        <w:t xml:space="preserve">The underlying tower-leasing environment appears healthy, particularly for new U.S. colocations.</w:t>
      </w:r>
    </w:p>
    <w:p>
      <w:pPr>
        <w:pStyle w:val="Compact"/>
        <w:numPr>
          <w:ilvl w:val="0"/>
          <w:numId w:val="1001"/>
        </w:numPr>
      </w:pPr>
      <w:r>
        <w:t xml:space="preserve">International revenue is benefiting substantially from the Millicom assets and Central American tower construction.</w:t>
      </w:r>
    </w:p>
    <w:p>
      <w:pPr>
        <w:pStyle w:val="Compact"/>
        <w:numPr>
          <w:ilvl w:val="0"/>
          <w:numId w:val="1001"/>
        </w:numPr>
      </w:pPr>
      <w:r>
        <w:t xml:space="preserve">EchoStar revenue has already been removed from guidance, reducing the risk of another operating reset.</w:t>
      </w:r>
    </w:p>
    <w:p>
      <w:pPr>
        <w:pStyle w:val="Compact"/>
        <w:numPr>
          <w:ilvl w:val="0"/>
          <w:numId w:val="1001"/>
        </w:numPr>
      </w:pPr>
      <w:r>
        <w:t xml:space="preserve">But elevated interest expense, international churn and a still-leveraged balance sheet continue to weigh on AFFO.</w:t>
      </w:r>
    </w:p>
    <w:p>
      <w:pPr>
        <w:pStyle w:val="FirstParagraph"/>
      </w:pPr>
      <w:r>
        <w:t xml:space="preserve">At roughly</w:t>
      </w:r>
      <w:r>
        <w:t xml:space="preserve"> </w:t>
      </w:r>
      <w:r>
        <w:rPr>
          <w:b/>
          <w:bCs/>
        </w:rPr>
        <w:t xml:space="preserve">$181 as of July 31</w:t>
      </w:r>
      <w:r>
        <w:t xml:space="preserve">, SBAC is down about 6% year to date and approximately 16% since its Q1 report. It trades near</w:t>
      </w:r>
      <w:r>
        <w:t xml:space="preserve"> </w:t>
      </w:r>
      <w:r>
        <w:rPr>
          <w:b/>
          <w:bCs/>
        </w:rPr>
        <w:t xml:space="preserve">14.9 times the midpoint of 2026 AFFO-per-share guidance</w:t>
      </w:r>
      <w:r>
        <w:t xml:space="preserve">, with an annualized dividend yield of approximately 2.8%.</w:t>
      </w:r>
    </w:p>
    <w:bookmarkEnd w:id="10"/>
    <w:bookmarkStart w:id="14" w:name="Xb24ade3425e062d720e2a2b3441c4164a1e30b3"/>
    <w:p>
      <w:pPr>
        <w:pStyle w:val="Heading2"/>
      </w:pPr>
      <w:r>
        <w:t xml:space="preserve">Starting point: Q1 results and current guidance</w:t>
      </w:r>
    </w:p>
    <w:p>
      <w:pPr>
        <w:pStyle w:val="FirstParagraph"/>
      </w:pPr>
      <w:r>
        <w:t xml:space="preserve">SBAC reported the following in Q1: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Q1 2026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YoY change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Site-leasing revenue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$656.1M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+6.5%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$475.4M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+4.0%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AFFO per share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$3.03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-4.7%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Domestic site-leasing revenue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$450.3M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-2.3%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International site-leasing revenue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$205.8M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+32.6%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debt / annualized EBITDA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6.6x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</w:tr>
    </w:tbl>
    <w:p>
      <w:pPr>
        <w:pStyle w:val="BodyText"/>
      </w:pPr>
      <w:r>
        <w:t xml:space="preserve">The domestic decline reflected Sprint, EchoStar and other churn, while international growth benefited from the expanded Millicom portfolio. Management raised all its major full-year ranges after Q1. (</w:t>
      </w:r>
      <w:hyperlink r:id="rId11">
        <w:r>
          <w:rPr>
            <w:rStyle w:val="Hyperlink"/>
          </w:rPr>
          <w:t xml:space="preserve">ir.sbasite.com</w:t>
        </w:r>
      </w:hyperlink>
      <w:r>
        <w:t xml:space="preserve">)</w:t>
      </w:r>
    </w:p>
    <w:bookmarkStart w:id="13" w:name="current-2026-outlook"/>
    <w:p>
      <w:pPr>
        <w:pStyle w:val="Heading3"/>
      </w:pPr>
      <w:r>
        <w:t xml:space="preserve">Current 2026 outlook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Guidance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Site-leasing revenue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2.649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2.674B</w:t>
            </w:r>
          </w:p>
        </w:tc>
      </w:tr>
      <w:tr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2.839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2.884B</w:t>
            </w:r>
          </w:p>
        </w:tc>
      </w:tr>
      <w:tr>
        <w:tc>
          <w:tcPr/>
          <w:p>
            <w:pPr>
              <w:pStyle w:val="Compact"/>
            </w:pPr>
            <w:r>
              <w:t xml:space="preserve">Tower cash flow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2.092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2.112B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1.921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1.941B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cash interest expense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492</m:t>
              </m:r>
              <m:r>
                <m:t>M</m:t>
              </m:r>
              <m:r>
                <m:rPr>
                  <m:sty m:val="p"/>
                </m:rPr>
                <m:t>−</m:t>
              </m:r>
            </m:oMath>
            <w:r>
              <w:t xml:space="preserve">500M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AFFO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1.269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1.317B</w:t>
            </w:r>
          </w:p>
        </w:tc>
      </w:tr>
      <w:tr>
        <w:tc>
          <w:tcPr/>
          <w:p>
            <w:pPr>
              <w:pStyle w:val="Compact"/>
            </w:pPr>
            <w:r>
              <w:t xml:space="preserve">AFFO per share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11.93</m:t>
              </m:r>
              <m:r>
                <m:rPr>
                  <m:sty m:val="p"/>
                </m:rPr>
                <m:t>−</m:t>
              </m:r>
            </m:oMath>
            <w:r>
              <w:t xml:space="preserve">12.38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Discretionary capital expenditures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430</m:t>
              </m:r>
              <m:r>
                <m:t>M</m:t>
              </m:r>
              <m:r>
                <m:rPr>
                  <m:sty m:val="p"/>
                </m:rPr>
                <m:t>−</m:t>
              </m:r>
            </m:oMath>
            <w:r>
              <w:t xml:space="preserve">450M</w:t>
            </w:r>
          </w:p>
        </w:tc>
      </w:tr>
    </w:tbl>
    <w:p>
      <w:pPr>
        <w:pStyle w:val="BodyText"/>
      </w:pPr>
      <w:r>
        <w:t xml:space="preserve">The midpoint of AFFO-per-share guidance is</w:t>
      </w:r>
      <w:r>
        <w:t xml:space="preserve"> </w:t>
      </w:r>
      <w:r>
        <w:rPr>
          <w:b/>
          <w:bCs/>
        </w:rPr>
        <w:t xml:space="preserve">$12.16</w:t>
      </w:r>
      <w:r>
        <w:t xml:space="preserve">. That is the most important benchmark for the report.</w:t>
      </w:r>
    </w:p>
    <w:p>
      <w:pPr>
        <w:pStyle w:val="BodyText"/>
      </w:pPr>
      <w:r>
        <w:t xml:space="preserve">Public estimate aggregators show roughly</w:t>
      </w:r>
      <w:r>
        <w:t xml:space="preserve"> </w:t>
      </w:r>
      <w:r>
        <w:rPr>
          <w:b/>
          <w:bCs/>
        </w:rPr>
        <w:t xml:space="preserve">$705 million to</w:t>
      </w:r>
      <w:r>
        <w:rPr>
          <w:b/>
          <w:bCs/>
        </w:rPr>
        <w:t xml:space="preserve"> </w:t>
      </w:r>
      <m:oMath>
        <m:r>
          <m:t>721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o</m:t>
        </m:r>
        <m:r>
          <m:t>f</m:t>
        </m:r>
        <m:r>
          <m:t>Q</m:t>
        </m:r>
        <m:r>
          <m:t>2</m:t>
        </m:r>
        <m:r>
          <m:t>r</m:t>
        </m:r>
        <m:r>
          <m:t>e</m:t>
        </m:r>
        <m:r>
          <m:t>v</m:t>
        </m:r>
        <m:r>
          <m:t>e</m:t>
        </m:r>
        <m:r>
          <m:t>n</m:t>
        </m:r>
        <m:r>
          <m:t>u</m:t>
        </m:r>
        <m:r>
          <m:t>e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b</m:t>
        </m:r>
        <m:r>
          <m:t>u</m:t>
        </m:r>
        <m:r>
          <m:t>t</m:t>
        </m:r>
        <m:r>
          <m:t>G</m:t>
        </m:r>
        <m:r>
          <m:t>A</m:t>
        </m:r>
        <m:r>
          <m:t>A</m:t>
        </m:r>
        <m:r>
          <m:t>P</m:t>
        </m:r>
        <m:r>
          <m:t>E</m:t>
        </m:r>
        <m:r>
          <m:t>P</m:t>
        </m:r>
        <m:r>
          <m:t>S</m:t>
        </m:r>
        <m:r>
          <m:t>e</m:t>
        </m:r>
        <m:r>
          <m:t>s</m:t>
        </m:r>
        <m:r>
          <m:t>t</m:t>
        </m:r>
        <m:r>
          <m:t>i</m:t>
        </m:r>
        <m:r>
          <m:t>m</m:t>
        </m:r>
        <m:r>
          <m:t>a</m:t>
        </m:r>
        <m:r>
          <m:t>t</m:t>
        </m:r>
        <m:r>
          <m:t>e</m:t>
        </m:r>
        <m:r>
          <m:t>s</m:t>
        </m:r>
        <m:r>
          <m:t>r</m:t>
        </m:r>
        <m:r>
          <m:t>a</m:t>
        </m:r>
        <m:r>
          <m:t>n</m:t>
        </m:r>
        <m:r>
          <m:t>g</m:t>
        </m:r>
        <m:r>
          <m:t>e</m:t>
        </m:r>
        <m:r>
          <m:t>w</m:t>
        </m:r>
        <m:r>
          <m:t>i</m:t>
        </m:r>
        <m:r>
          <m:t>d</m:t>
        </m:r>
        <m:r>
          <m:t>e</m:t>
        </m:r>
        <m:r>
          <m:t>l</m:t>
        </m:r>
        <m:r>
          <m:t>y</m:t>
        </m:r>
        <m:r>
          <m:rPr>
            <m:sty m:val="p"/>
          </m:rPr>
          <m:t>—</m:t>
        </m:r>
        <m:r>
          <m:t>f</m:t>
        </m:r>
        <m:r>
          <m:t>r</m:t>
        </m:r>
        <m:r>
          <m:t>o</m:t>
        </m:r>
        <m:r>
          <m:t>m</m:t>
        </m:r>
        <m:r>
          <m:t>a</m:t>
        </m:r>
        <m:r>
          <m:t>b</m:t>
        </m:r>
        <m:r>
          <m:t>o</m:t>
        </m:r>
        <m:r>
          <m:t>u</m:t>
        </m:r>
        <m:r>
          <m:t>t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1.85 to $2.76</w:t>
      </w:r>
      <w:r>
        <w:t xml:space="preserve">—likely because of differences in timing, currency and non-operating assumptions. Investors should therefore place more weight on AFFO, tower cash flow and guidance than on the headline GAAP EPS comparison. (</w:t>
      </w:r>
      <w:hyperlink r:id="rId12">
        <w:r>
          <w:rPr>
            <w:rStyle w:val="Hyperlink"/>
          </w:rPr>
          <w:t xml:space="preserve">benzinga.com</w:t>
        </w:r>
      </w:hyperlink>
      <w:r>
        <w:t xml:space="preserve">)</w:t>
      </w:r>
    </w:p>
    <w:bookmarkEnd w:id="13"/>
    <w:bookmarkEnd w:id="14"/>
    <w:bookmarkStart w:id="22" w:name="the-five-issues-that-matter-most"/>
    <w:p>
      <w:pPr>
        <w:pStyle w:val="Heading2"/>
      </w:pPr>
      <w:r>
        <w:t xml:space="preserve">The five issues that matter most</w:t>
      </w:r>
    </w:p>
    <w:bookmarkStart w:id="16" w:name="X827319bad04ee6b118902025b6c22277f57a23b"/>
    <w:p>
      <w:pPr>
        <w:pStyle w:val="Heading3"/>
      </w:pPr>
      <w:r>
        <w:t xml:space="preserve">1. Is the domestic backlog converting into revenue?</w:t>
      </w:r>
    </w:p>
    <w:p>
      <w:pPr>
        <w:pStyle w:val="FirstParagraph"/>
      </w:pPr>
      <w:r>
        <w:t xml:space="preserve">In Q1, SBAC said its U.S. leasing backlog increased moderately, with incoming applications replenishing the backlog faster than executed business was consuming it. New U.S. lease and amendment billings increased by approximately $10 million year over year, with much of the activity coming from new colocations.</w:t>
      </w:r>
    </w:p>
    <w:p>
      <w:pPr>
        <w:pStyle w:val="BodyText"/>
      </w:pPr>
      <w:r>
        <w:t xml:space="preserve">That is important because SBAC’s reported domestic revenue remains distorted by:</w:t>
      </w:r>
    </w:p>
    <w:p>
      <w:pPr>
        <w:pStyle w:val="Compact"/>
        <w:numPr>
          <w:ilvl w:val="0"/>
          <w:numId w:val="1002"/>
        </w:numPr>
      </w:pPr>
      <w:r>
        <w:t xml:space="preserve">EchoStar revenue removal;</w:t>
      </w:r>
    </w:p>
    <w:p>
      <w:pPr>
        <w:pStyle w:val="Compact"/>
        <w:numPr>
          <w:ilvl w:val="0"/>
          <w:numId w:val="1002"/>
        </w:numPr>
      </w:pPr>
      <w:r>
        <w:t xml:space="preserve">continuing Sprint consolidation churn; and</w:t>
      </w:r>
    </w:p>
    <w:p>
      <w:pPr>
        <w:pStyle w:val="Compact"/>
        <w:numPr>
          <w:ilvl w:val="0"/>
          <w:numId w:val="1002"/>
        </w:numPr>
      </w:pPr>
      <w:r>
        <w:t xml:space="preserve">regular tenant non-renewals.</w:t>
      </w:r>
    </w:p>
    <w:p>
      <w:pPr>
        <w:pStyle w:val="FirstParagraph"/>
      </w:pPr>
      <w:r>
        <w:t xml:space="preserve">The best result would therefore be</w:t>
      </w:r>
      <w:r>
        <w:t xml:space="preserve"> </w:t>
      </w:r>
      <w:r>
        <w:rPr>
          <w:b/>
          <w:bCs/>
        </w:rPr>
        <w:t xml:space="preserve">stable-to-improving new leasing and another backlog increase</w:t>
      </w:r>
      <w:r>
        <w:t xml:space="preserve">, even if reported domestic revenue remains down year over year.</w:t>
      </w:r>
    </w:p>
    <w:p>
      <w:pPr>
        <w:pStyle w:val="BodyText"/>
      </w:pPr>
      <w:r>
        <w:t xml:space="preserve">Peer results provide a generally constructive read-through. Crown Castle reported 4.2% Q2 organic growth after excluding DISH and Sprint impacts, although it also saw softer services activity. American Tower described global tower demand as robust and maintained roughly 4% normalized organic tenant-billings growth. (</w:t>
      </w:r>
      <w:hyperlink r:id="rId15">
        <w:r>
          <w:rPr>
            <w:rStyle w:val="Hyperlink"/>
          </w:rPr>
          <w:t xml:space="preserve">investor.crowncastle.com</w:t>
        </w:r>
      </w:hyperlink>
      <w:r>
        <w:t xml:space="preserve">)</w:t>
      </w:r>
    </w:p>
    <w:p>
      <w:pPr>
        <w:pStyle w:val="BodyText"/>
      </w:pPr>
      <w:r>
        <w:rPr>
          <w:b/>
          <w:bCs/>
        </w:rPr>
        <w:t xml:space="preserve">What would be positive:</w:t>
      </w:r>
      <w:r>
        <w:t xml:space="preserve"> </w:t>
      </w:r>
      <w:r>
        <w:t xml:space="preserve">evidence that the mix is continuing to move toward colocations and network densification rather than relying mainly on amendments.</w:t>
      </w:r>
    </w:p>
    <w:bookmarkEnd w:id="16"/>
    <w:bookmarkStart w:id="17" w:name="X54460125cfbac64cd00593ccd5003fe54dd3f35"/>
    <w:p>
      <w:pPr>
        <w:pStyle w:val="Heading3"/>
      </w:pPr>
      <w:r>
        <w:t xml:space="preserve">2. Can Millicom growth offset international churn?</w:t>
      </w:r>
    </w:p>
    <w:p>
      <w:pPr>
        <w:pStyle w:val="FirstParagraph"/>
      </w:pPr>
      <w:r>
        <w:t xml:space="preserve">International towers were the clear growth engine in Q1: revenue rose 32.6%, or 24.8% excluding foreign exchange.</w:t>
      </w:r>
    </w:p>
    <w:p>
      <w:pPr>
        <w:pStyle w:val="BodyText"/>
      </w:pPr>
      <w:r>
        <w:t xml:space="preserve">Management also said:</w:t>
      </w:r>
    </w:p>
    <w:p>
      <w:pPr>
        <w:pStyle w:val="Compact"/>
        <w:numPr>
          <w:ilvl w:val="0"/>
          <w:numId w:val="1003"/>
        </w:numPr>
      </w:pPr>
      <w:r>
        <w:t xml:space="preserve">Colocation demand on the acquired Millicom assets was running ahead of initial expectations.</w:t>
      </w:r>
    </w:p>
    <w:p>
      <w:pPr>
        <w:pStyle w:val="Compact"/>
        <w:numPr>
          <w:ilvl w:val="0"/>
          <w:numId w:val="1003"/>
        </w:numPr>
      </w:pPr>
      <w:r>
        <w:t xml:space="preserve">More than 60 Central American towers were built during Q1.</w:t>
      </w:r>
    </w:p>
    <w:p>
      <w:pPr>
        <w:pStyle w:val="Compact"/>
        <w:numPr>
          <w:ilvl w:val="0"/>
          <w:numId w:val="1003"/>
        </w:numPr>
      </w:pPr>
      <w:r>
        <w:t xml:space="preserve">Build-to-suit production should rise through the remainder of 2026.</w:t>
      </w:r>
    </w:p>
    <w:p>
      <w:pPr>
        <w:pStyle w:val="Compact"/>
        <w:numPr>
          <w:ilvl w:val="0"/>
          <w:numId w:val="1003"/>
        </w:numPr>
      </w:pPr>
      <w:r>
        <w:t xml:space="preserve">International churn should peak in 2026 and improve over the following several years.</w:t>
      </w:r>
    </w:p>
    <w:p>
      <w:pPr>
        <w:pStyle w:val="FirstParagraph"/>
      </w:pPr>
      <w:r>
        <w:t xml:space="preserve">Investors should watch for:</w:t>
      </w:r>
    </w:p>
    <w:p>
      <w:pPr>
        <w:pStyle w:val="Compact"/>
        <w:numPr>
          <w:ilvl w:val="0"/>
          <w:numId w:val="1004"/>
        </w:numPr>
      </w:pPr>
      <w:r>
        <w:t xml:space="preserve">The number of towers built in Q2.</w:t>
      </w:r>
    </w:p>
    <w:p>
      <w:pPr>
        <w:pStyle w:val="Compact"/>
        <w:numPr>
          <w:ilvl w:val="0"/>
          <w:numId w:val="1004"/>
        </w:numPr>
      </w:pPr>
      <w:r>
        <w:t xml:space="preserve">Colocation bookings on Millicom sites.</w:t>
      </w:r>
    </w:p>
    <w:p>
      <w:pPr>
        <w:pStyle w:val="Compact"/>
        <w:numPr>
          <w:ilvl w:val="0"/>
          <w:numId w:val="1004"/>
        </w:numPr>
      </w:pPr>
      <w:r>
        <w:t xml:space="preserve">International tower-cash-flow margins.</w:t>
      </w:r>
    </w:p>
    <w:p>
      <w:pPr>
        <w:pStyle w:val="Compact"/>
        <w:numPr>
          <w:ilvl w:val="0"/>
          <w:numId w:val="1004"/>
        </w:numPr>
      </w:pPr>
      <w:r>
        <w:t xml:space="preserve">Whether management still expects 2026 to be the churn peak.</w:t>
      </w:r>
    </w:p>
    <w:p>
      <w:pPr>
        <w:pStyle w:val="Compact"/>
        <w:numPr>
          <w:ilvl w:val="0"/>
          <w:numId w:val="1004"/>
        </w:numPr>
      </w:pPr>
      <w:r>
        <w:t xml:space="preserve">Any change in the expected returns or capital required for the Central American build program.</w:t>
      </w:r>
    </w:p>
    <w:p>
      <w:pPr>
        <w:pStyle w:val="FirstParagraph"/>
      </w:pPr>
      <w:r>
        <w:t xml:space="preserve">A strong quarter would show</w:t>
      </w:r>
      <w:r>
        <w:t xml:space="preserve"> </w:t>
      </w:r>
      <w:r>
        <w:rPr>
          <w:b/>
          <w:bCs/>
        </w:rPr>
        <w:t xml:space="preserve">international growth remaining well above domestic growth without further material margin dilution</w:t>
      </w:r>
      <w:r>
        <w:t xml:space="preserve">.</w:t>
      </w:r>
    </w:p>
    <w:bookmarkEnd w:id="17"/>
    <w:bookmarkStart w:id="19" w:name="X19c2257d85aae1030c3a91b3c6904c67d8bbad0"/>
    <w:p>
      <w:pPr>
        <w:pStyle w:val="Heading3"/>
      </w:pPr>
      <w:r>
        <w:t xml:space="preserve">3. Does guidance absorb the July refinancing?</w:t>
      </w:r>
    </w:p>
    <w:p>
      <w:pPr>
        <w:pStyle w:val="FirstParagraph"/>
      </w:pPr>
      <w:r>
        <w:t xml:space="preserve">On July 23, SBAC completed a $3.5 billion unsecured notes offering:</w:t>
      </w:r>
    </w:p>
    <w:p>
      <w:pPr>
        <w:pStyle w:val="Compact"/>
        <w:numPr>
          <w:ilvl w:val="0"/>
          <w:numId w:val="1005"/>
        </w:numPr>
      </w:pPr>
      <w:r>
        <w:t xml:space="preserve">$1.35 billion at 4.875%, due 2030;</w:t>
      </w:r>
    </w:p>
    <w:p>
      <w:pPr>
        <w:pStyle w:val="Compact"/>
        <w:numPr>
          <w:ilvl w:val="0"/>
          <w:numId w:val="1005"/>
        </w:numPr>
      </w:pPr>
      <w:r>
        <w:t xml:space="preserve">$1.35 billion at 5.150%, due 2031; and</w:t>
      </w:r>
    </w:p>
    <w:p>
      <w:pPr>
        <w:pStyle w:val="Compact"/>
        <w:numPr>
          <w:ilvl w:val="0"/>
          <w:numId w:val="1005"/>
        </w:numPr>
      </w:pPr>
      <w:r>
        <w:t xml:space="preserve">$800 million at 5.450%, due 2033.</w:t>
      </w:r>
    </w:p>
    <w:p>
      <w:pPr>
        <w:pStyle w:val="FirstParagraph"/>
      </w:pPr>
      <w:r>
        <w:t xml:space="preserve">The weighted coupon is approximately</w:t>
      </w:r>
      <w:r>
        <w:t xml:space="preserve"> </w:t>
      </w:r>
      <w:r>
        <w:rPr>
          <w:b/>
          <w:bCs/>
        </w:rPr>
        <w:t xml:space="preserve">5.11%</w:t>
      </w:r>
      <w:r>
        <w:t xml:space="preserve">. Proceeds repaid the secured term loan and outstanding revolver borrowings, and SBAC also established a new $2.5 billion unsecured revolving facility. This is strategically favorable because it shifts the capital structure toward unsecured debt and supports the investment-grade issuer strategy. (</w:t>
      </w:r>
      <w:hyperlink r:id="rId18">
        <w:r>
          <w:rPr>
            <w:rStyle w:val="Hyperlink"/>
          </w:rPr>
          <w:t xml:space="preserve">sec.gov</w:t>
        </w:r>
      </w:hyperlink>
      <w:r>
        <w:t xml:space="preserve">)</w:t>
      </w:r>
    </w:p>
    <w:p>
      <w:pPr>
        <w:pStyle w:val="BodyText"/>
      </w:pPr>
      <w:r>
        <w:t xml:space="preserve">However, Q1 guidance separately assumed that the</w:t>
      </w:r>
      <w:r>
        <w:t xml:space="preserve"> </w:t>
      </w:r>
      <w:r>
        <w:rPr>
          <w:b/>
          <w:bCs/>
        </w:rPr>
        <w:t xml:space="preserve">$1.165 billion 2021-1C tower securities</w:t>
      </w:r>
      <w:r>
        <w:t xml:space="preserve">, with a November 9 anticipated repayment date, would be refinanced at 5.25%. Investors need clarification on:</w:t>
      </w:r>
    </w:p>
    <w:p>
      <w:pPr>
        <w:pStyle w:val="Compact"/>
        <w:numPr>
          <w:ilvl w:val="0"/>
          <w:numId w:val="1006"/>
        </w:numPr>
      </w:pPr>
      <w:r>
        <w:t xml:space="preserve">Whether that assumption remains intact.</w:t>
      </w:r>
    </w:p>
    <w:p>
      <w:pPr>
        <w:pStyle w:val="Compact"/>
        <w:numPr>
          <w:ilvl w:val="0"/>
          <w:numId w:val="1006"/>
        </w:numPr>
      </w:pPr>
      <w:r>
        <w:t xml:space="preserve">The new full-year interest-expense forecast.</w:t>
      </w:r>
    </w:p>
    <w:p>
      <w:pPr>
        <w:pStyle w:val="Compact"/>
        <w:numPr>
          <w:ilvl w:val="0"/>
          <w:numId w:val="1006"/>
        </w:numPr>
      </w:pPr>
      <w:r>
        <w:t xml:space="preserve">Pro forma secured and total leverage.</w:t>
      </w:r>
    </w:p>
    <w:p>
      <w:pPr>
        <w:pStyle w:val="Compact"/>
        <w:numPr>
          <w:ilvl w:val="0"/>
          <w:numId w:val="1006"/>
        </w:numPr>
      </w:pPr>
      <w:r>
        <w:t xml:space="preserve">Whether the refinancing accelerates the investment-grade transition.</w:t>
      </w:r>
    </w:p>
    <w:p>
      <w:pPr>
        <w:pStyle w:val="Compact"/>
        <w:numPr>
          <w:ilvl w:val="0"/>
          <w:numId w:val="1006"/>
        </w:numPr>
      </w:pPr>
      <w:r>
        <w:t xml:space="preserve">Whether associated issuance or extinguishment costs affect Q2 or Q3 AFFO.</w:t>
      </w:r>
    </w:p>
    <w:p>
      <w:pPr>
        <w:pStyle w:val="FirstParagraph"/>
      </w:pPr>
      <w:r>
        <w:t xml:space="preserve">A guidance raise that excludes favorable currency effects would be particularly meaningful. Conversely, an increase in interest expense could absorb otherwise solid operating performance.</w:t>
      </w:r>
    </w:p>
    <w:bookmarkEnd w:id="19"/>
    <w:bookmarkStart w:id="20" w:name="X091e7d0083a07f4616627c5154d3af37a1c33fc"/>
    <w:p>
      <w:pPr>
        <w:pStyle w:val="Heading3"/>
      </w:pPr>
      <w:r>
        <w:t xml:space="preserve">4. Will share repurchases return?</w:t>
      </w:r>
    </w:p>
    <w:p>
      <w:pPr>
        <w:pStyle w:val="FirstParagraph"/>
      </w:pPr>
      <w:r>
        <w:t xml:space="preserve">SBAC had approximately</w:t>
      </w:r>
      <w:r>
        <w:t xml:space="preserve"> </w:t>
      </w:r>
      <w:r>
        <w:rPr>
          <w:b/>
          <w:bCs/>
        </w:rPr>
        <w:t xml:space="preserve">$1.1 billion remaining under its repurchase authorization</w:t>
      </w:r>
      <w:r>
        <w:t xml:space="preserve"> </w:t>
      </w:r>
      <w:r>
        <w:t xml:space="preserve">after Q1, but management prioritized paying down its revolving credit facility and did not repurchase a meaningful number of shares.</w:t>
      </w:r>
    </w:p>
    <w:p>
      <w:pPr>
        <w:pStyle w:val="BodyText"/>
      </w:pPr>
      <w:r>
        <w:t xml:space="preserve">The July refinancing has now repaid that revolver, while the stock trades materially below the levels at which SBAC repurchased shares during parts of 2025.</w:t>
      </w:r>
    </w:p>
    <w:p>
      <w:pPr>
        <w:pStyle w:val="BodyText"/>
      </w:pPr>
      <w:r>
        <w:t xml:space="preserve">That creates a key capital-allocation question:</w:t>
      </w:r>
      <w:r>
        <w:t xml:space="preserve"> </w:t>
      </w:r>
      <w:r>
        <w:rPr>
          <w:b/>
          <w:bCs/>
        </w:rPr>
        <w:t xml:space="preserve">Does the lower share price and restored revolver capacity make buybacks more attractive, or will management continue prioritizing leverage and tower investment?</w:t>
      </w:r>
    </w:p>
    <w:p>
      <w:pPr>
        <w:pStyle w:val="BodyText"/>
      </w:pPr>
      <w:r>
        <w:t xml:space="preserve">A credible indication that repurchases could resume—without pushing leverage above the 6.0x-7.0x target range—would likely be viewed positively.</w:t>
      </w:r>
    </w:p>
    <w:bookmarkEnd w:id="20"/>
    <w:bookmarkStart w:id="21" w:name="X3b37182c80d513cfa06ac28edee0fd783333b6f"/>
    <w:p>
      <w:pPr>
        <w:pStyle w:val="Heading3"/>
      </w:pPr>
      <w:r>
        <w:t xml:space="preserve">5. What is the status of EchoStar?</w:t>
      </w:r>
    </w:p>
    <w:p>
      <w:pPr>
        <w:pStyle w:val="FirstParagraph"/>
      </w:pPr>
      <w:r>
        <w:t xml:space="preserve">SBAC removed all EchoStar revenue from reported results and guidance beginning January 1, meaning the near-term operating downside is largely reflected in the base case. The company has maintained that EchoStar defaulted on its contractual obligations and has pursued legal remedies. (</w:t>
      </w:r>
      <w:hyperlink r:id="rId11">
        <w:r>
          <w:rPr>
            <w:rStyle w:val="Hyperlink"/>
          </w:rPr>
          <w:t xml:space="preserve">ir.sbasite.com</w:t>
        </w:r>
      </w:hyperlink>
      <w:r>
        <w:t xml:space="preserve">)</w:t>
      </w:r>
    </w:p>
    <w:p>
      <w:pPr>
        <w:pStyle w:val="BodyText"/>
      </w:pPr>
      <w:r>
        <w:t xml:space="preserve">Investors should listen for:</w:t>
      </w:r>
    </w:p>
    <w:p>
      <w:pPr>
        <w:pStyle w:val="Compact"/>
        <w:numPr>
          <w:ilvl w:val="0"/>
          <w:numId w:val="1007"/>
        </w:numPr>
      </w:pPr>
      <w:r>
        <w:t xml:space="preserve">The status and size of SBAC’s bankruptcy claim.</w:t>
      </w:r>
    </w:p>
    <w:p>
      <w:pPr>
        <w:pStyle w:val="Compact"/>
        <w:numPr>
          <w:ilvl w:val="0"/>
          <w:numId w:val="1007"/>
        </w:numPr>
      </w:pPr>
      <w:r>
        <w:t xml:space="preserve">Whether management expects any recovery.</w:t>
      </w:r>
    </w:p>
    <w:p>
      <w:pPr>
        <w:pStyle w:val="Compact"/>
        <w:numPr>
          <w:ilvl w:val="0"/>
          <w:numId w:val="1007"/>
        </w:numPr>
      </w:pPr>
      <w:r>
        <w:t xml:space="preserve">The treatment of EchoStar equipment remaining on SBAC towers.</w:t>
      </w:r>
    </w:p>
    <w:p>
      <w:pPr>
        <w:pStyle w:val="Compact"/>
        <w:numPr>
          <w:ilvl w:val="0"/>
          <w:numId w:val="1007"/>
        </w:numPr>
      </w:pPr>
      <w:r>
        <w:t xml:space="preserve">Whether potential recoveries would be treated as AFFO or excluded as nonrecurring.</w:t>
      </w:r>
    </w:p>
    <w:p>
      <w:pPr>
        <w:pStyle w:val="FirstParagraph"/>
      </w:pPr>
      <w:r>
        <w:t xml:space="preserve">Any recovery should be regarded as potential upside, not part of the core earnings thesis.</w:t>
      </w:r>
    </w:p>
    <w:bookmarkEnd w:id="21"/>
    <w:bookmarkEnd w:id="22"/>
    <w:bookmarkStart w:id="26" w:name="earnings-scorecard"/>
    <w:p>
      <w:pPr>
        <w:pStyle w:val="Heading2"/>
      </w:pPr>
      <w:r>
        <w:t xml:space="preserve">Earnings scorecard</w:t>
      </w:r>
    </w:p>
    <w:bookmarkStart w:id="23" w:name="bullish-outcome"/>
    <w:p>
      <w:pPr>
        <w:pStyle w:val="Heading3"/>
      </w:pPr>
      <w:r>
        <w:t xml:space="preserve">Bullish outcome</w:t>
      </w:r>
    </w:p>
    <w:p>
      <w:pPr>
        <w:pStyle w:val="Compact"/>
        <w:numPr>
          <w:ilvl w:val="0"/>
          <w:numId w:val="1008"/>
        </w:numPr>
      </w:pPr>
      <w:r>
        <w:t xml:space="preserve">Domestic backlog and new colocations increase.</w:t>
      </w:r>
    </w:p>
    <w:p>
      <w:pPr>
        <w:pStyle w:val="Compact"/>
        <w:numPr>
          <w:ilvl w:val="0"/>
          <w:numId w:val="1008"/>
        </w:numPr>
      </w:pPr>
      <w:r>
        <w:t xml:space="preserve">International growth remains above 20% on a constant-currency basis.</w:t>
      </w:r>
    </w:p>
    <w:p>
      <w:pPr>
        <w:pStyle w:val="Compact"/>
        <w:numPr>
          <w:ilvl w:val="0"/>
          <w:numId w:val="1008"/>
        </w:numPr>
      </w:pPr>
      <w:r>
        <w:t xml:space="preserve">Millicom lease-up and tower construction exceed plan.</w:t>
      </w:r>
    </w:p>
    <w:p>
      <w:pPr>
        <w:pStyle w:val="Compact"/>
        <w:numPr>
          <w:ilvl w:val="0"/>
          <w:numId w:val="1008"/>
        </w:numPr>
      </w:pPr>
      <w:r>
        <w:t xml:space="preserve">Full-year AFFO-per-share guidance is raised.</w:t>
      </w:r>
    </w:p>
    <w:p>
      <w:pPr>
        <w:pStyle w:val="Compact"/>
        <w:numPr>
          <w:ilvl w:val="0"/>
          <w:numId w:val="1008"/>
        </w:numPr>
      </w:pPr>
      <w:r>
        <w:t xml:space="preserve">Net cash interest guidance is maintained despite the refinancing.</w:t>
      </w:r>
    </w:p>
    <w:p>
      <w:pPr>
        <w:pStyle w:val="Compact"/>
        <w:numPr>
          <w:ilvl w:val="0"/>
          <w:numId w:val="1008"/>
        </w:numPr>
      </w:pPr>
      <w:r>
        <w:t xml:space="preserve">Management signals that buybacks may resume.</w:t>
      </w:r>
    </w:p>
    <w:bookmarkEnd w:id="23"/>
    <w:bookmarkStart w:id="24" w:name="neutral-outcome"/>
    <w:p>
      <w:pPr>
        <w:pStyle w:val="Heading3"/>
      </w:pPr>
      <w:r>
        <w:t xml:space="preserve">Neutral outcome</w:t>
      </w:r>
    </w:p>
    <w:p>
      <w:pPr>
        <w:pStyle w:val="Compact"/>
        <w:numPr>
          <w:ilvl w:val="0"/>
          <w:numId w:val="1009"/>
        </w:numPr>
      </w:pPr>
      <w:r>
        <w:t xml:space="preserve">Quarterly results are broadly in line.</w:t>
      </w:r>
    </w:p>
    <w:p>
      <w:pPr>
        <w:pStyle w:val="Compact"/>
        <w:numPr>
          <w:ilvl w:val="0"/>
          <w:numId w:val="1009"/>
        </w:numPr>
      </w:pPr>
      <w:r>
        <w:t xml:space="preserve">Domestic reported revenue remains weak because of churn, but underlying leasing is stable.</w:t>
      </w:r>
    </w:p>
    <w:p>
      <w:pPr>
        <w:pStyle w:val="Compact"/>
        <w:numPr>
          <w:ilvl w:val="0"/>
          <w:numId w:val="1009"/>
        </w:numPr>
      </w:pPr>
      <w:r>
        <w:t xml:space="preserve">International growth remains strong but margins soften modestly.</w:t>
      </w:r>
    </w:p>
    <w:p>
      <w:pPr>
        <w:pStyle w:val="Compact"/>
        <w:numPr>
          <w:ilvl w:val="0"/>
          <w:numId w:val="1009"/>
        </w:numPr>
      </w:pPr>
      <w:r>
        <w:t xml:space="preserve">Guidance is maintained, with refinancing benefits offset by higher interest or transaction costs.</w:t>
      </w:r>
    </w:p>
    <w:bookmarkEnd w:id="24"/>
    <w:bookmarkStart w:id="25" w:name="bearish-outcome"/>
    <w:p>
      <w:pPr>
        <w:pStyle w:val="Heading3"/>
      </w:pPr>
      <w:r>
        <w:t xml:space="preserve">Bearish outcome</w:t>
      </w:r>
    </w:p>
    <w:p>
      <w:pPr>
        <w:pStyle w:val="Compact"/>
        <w:numPr>
          <w:ilvl w:val="0"/>
          <w:numId w:val="1010"/>
        </w:numPr>
      </w:pPr>
      <w:r>
        <w:t xml:space="preserve">Domestic bookings or backlog decline.</w:t>
      </w:r>
    </w:p>
    <w:p>
      <w:pPr>
        <w:pStyle w:val="Compact"/>
        <w:numPr>
          <w:ilvl w:val="0"/>
          <w:numId w:val="1010"/>
        </w:numPr>
      </w:pPr>
      <w:r>
        <w:t xml:space="preserve">Services weakness proves to be an early indicator of lower carrier activity.</w:t>
      </w:r>
    </w:p>
    <w:p>
      <w:pPr>
        <w:pStyle w:val="Compact"/>
        <w:numPr>
          <w:ilvl w:val="0"/>
          <w:numId w:val="1010"/>
        </w:numPr>
      </w:pPr>
      <w:r>
        <w:t xml:space="preserve">International churn or operating costs exceed expectations.</w:t>
      </w:r>
    </w:p>
    <w:p>
      <w:pPr>
        <w:pStyle w:val="Compact"/>
        <w:numPr>
          <w:ilvl w:val="0"/>
          <w:numId w:val="1010"/>
        </w:numPr>
      </w:pPr>
      <w:r>
        <w:t xml:space="preserve">Interest-expense guidance rises.</w:t>
      </w:r>
    </w:p>
    <w:p>
      <w:pPr>
        <w:pStyle w:val="Compact"/>
        <w:numPr>
          <w:ilvl w:val="0"/>
          <w:numId w:val="1010"/>
        </w:numPr>
      </w:pPr>
      <w:r>
        <w:t xml:space="preserve">AFFO-per-share guidance is cut or the midpoint shifts lower.</w:t>
      </w:r>
    </w:p>
    <w:p>
      <w:pPr>
        <w:pStyle w:val="Compact"/>
        <w:numPr>
          <w:ilvl w:val="0"/>
          <w:numId w:val="1010"/>
        </w:numPr>
      </w:pPr>
      <w:r>
        <w:t xml:space="preserve">Capital allocation remains constrained despite the lower stock price.</w:t>
      </w:r>
    </w:p>
    <w:bookmarkEnd w:id="25"/>
    <w:bookmarkEnd w:id="26"/>
    <w:bookmarkStart w:id="27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SBAC enters Q2 earnings with a low expectations bar on reported domestic growth but a higher bar on the forward narrative.</w:t>
      </w:r>
    </w:p>
    <w:p>
      <w:pPr>
        <w:pStyle w:val="BodyText"/>
      </w:pPr>
      <w:r>
        <w:t xml:space="preserve">The most important evidence will be whether: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Domestic colocations and backlog are improving;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Millicom is generating attractive incremental growth;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2026 AFFO guidance can survive the refinancing and churn headwinds; and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management can credibly outline a return to AFFO-per-share growth in 2027.</w:t>
      </w:r>
    </w:p>
    <w:p>
      <w:pPr>
        <w:pStyle w:val="FirstParagraph"/>
      </w:pPr>
      <w:r>
        <w:t xml:space="preserve">A small revenue or EPS beat alone would not materially change the thesis. A guidance increase, improving domestic bookings and a clearer path to lower refinancing risk would.</w:t>
      </w:r>
    </w:p>
    <w:bookmarkEnd w:id="27"/>
    <w:bookmarkEnd w:id="2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https://investor.crowncastle.com/news-releases/news-release-details/crown-castle-reports-second-quarter-2026-results-and-updates?utm_source=openai" TargetMode="External" /><Relationship Type="http://schemas.openxmlformats.org/officeDocument/2006/relationships/hyperlink" Id="rId11" Target="https://ir.sbasite.com/English/Investors-overview/news-events/news-details/2026/SBA-Communications-Corporation-Reports-First-Quarter-2026-Results-Updates-Full-Year-2026-Outlook-and-Declares-Quarterly-Cash-Dividend/default.aspx?utm_source=openai" TargetMode="External" /><Relationship Type="http://schemas.openxmlformats.org/officeDocument/2006/relationships/hyperlink" Id="rId9" Target="https://ir.sbasite.com/English/Investors-overview/news-events/news-details/2026/SBA-Communications-Corporation-Sets-Date-for-Second-Quarter-2026-Earnings-Release/default.aspx?utm_source=openai" TargetMode="External" /><Relationship Type="http://schemas.openxmlformats.org/officeDocument/2006/relationships/hyperlink" Id="rId12" Target="https://www.benzinga.com/quote/SBAC/earnings?utm_source=openai" TargetMode="External" /><Relationship Type="http://schemas.openxmlformats.org/officeDocument/2006/relationships/hyperlink" Id="rId18" Target="https://www.sec.gov/Archives/edgar/data/1034054/000119312526304972/d169827d8k.htm?utm_source=opena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https://investor.crowncastle.com/news-releases/news-release-details/crown-castle-reports-second-quarter-2026-results-and-updates?utm_source=openai" TargetMode="External" /><Relationship Type="http://schemas.openxmlformats.org/officeDocument/2006/relationships/hyperlink" Id="rId11" Target="https://ir.sbasite.com/English/Investors-overview/news-events/news-details/2026/SBA-Communications-Corporation-Reports-First-Quarter-2026-Results-Updates-Full-Year-2026-Outlook-and-Declares-Quarterly-Cash-Dividend/default.aspx?utm_source=openai" TargetMode="External" /><Relationship Type="http://schemas.openxmlformats.org/officeDocument/2006/relationships/hyperlink" Id="rId9" Target="https://ir.sbasite.com/English/Investors-overview/news-events/news-details/2026/SBA-Communications-Corporation-Sets-Date-for-Second-Quarter-2026-Earnings-Release/default.aspx?utm_source=openai" TargetMode="External" /><Relationship Type="http://schemas.openxmlformats.org/officeDocument/2006/relationships/hyperlink" Id="rId12" Target="https://www.benzinga.com/quote/SBAC/earnings?utm_source=openai" TargetMode="External" /><Relationship Type="http://schemas.openxmlformats.org/officeDocument/2006/relationships/hyperlink" Id="rId18" Target="https://www.sec.gov/Archives/edgar/data/1034054/000119312526304972/d169827d8k.htm?utm_source=opena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2026-08-03T00:12:34Z</dcterms:created>
  <dcterms:modified xsi:type="dcterms:W3CDTF">2026-08-03T00:12:34Z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