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sbac-q2-2026-earnings-preview"/>
    <w:p>
      <w:pPr>
        <w:pStyle w:val="Heading1"/>
      </w:pPr>
      <w:r>
        <w:t xml:space="preserve">SBAC Q2 2026 Earnings Preview</w:t>
      </w:r>
    </w:p>
    <w:p>
      <w:pPr>
        <w:pStyle w:val="BlockText"/>
      </w:pPr>
      <w:r>
        <w:rPr>
          <w:b/>
          <w:bCs/>
        </w:rPr>
        <w:t xml:space="preserve">Calendar clarification:</w:t>
      </w:r>
      <w:r>
        <w:t xml:space="preserve"> </w:t>
      </w:r>
      <w:r>
        <w:t xml:space="preserve">Today is</w:t>
      </w:r>
      <w:r>
        <w:t xml:space="preserve"> </w:t>
      </w:r>
      <w:r>
        <w:rPr>
          <w:b/>
          <w:bCs/>
        </w:rPr>
        <w:t xml:space="preserve">Monday, August 3, 2026</w:t>
      </w:r>
      <w:r>
        <w:t xml:space="preserve">. The event date you provided—</w:t>
      </w:r>
      <w:r>
        <w:rPr>
          <w:b/>
          <w:bCs/>
        </w:rPr>
        <w:t xml:space="preserve">August 3, 2026</w:t>
      </w:r>
      <w:r>
        <w:t xml:space="preserve">—is therefore</w:t>
      </w:r>
      <w:r>
        <w:t xml:space="preserve"> </w:t>
      </w:r>
      <w:r>
        <w:rPr>
          <w:b/>
          <w:bCs/>
        </w:rPr>
        <w:t xml:space="preserve">today, not tomorrow</w:t>
      </w:r>
      <w:r>
        <w:t xml:space="preserve">. This preview is framed ahead of the company’s reported Q2 2026 earnings call; no Q2 earnings release was available at the time of preparation.</w:t>
      </w:r>
    </w:p>
    <w:bookmarkStart w:id="9" w:name="Xb8689eafb6fa02f31e9c1c817fe578de34093d3"/>
    <w:p>
      <w:pPr>
        <w:pStyle w:val="Heading2"/>
      </w:pPr>
      <w:r>
        <w:t xml:space="preserve">Investment view: Q2 is less about the headline and more about the durability of 2026 growth</w:t>
      </w:r>
    </w:p>
    <w:p>
      <w:pPr>
        <w:pStyle w:val="FirstParagraph"/>
      </w:pPr>
      <w:r>
        <w:t xml:space="preserve">SBA Communications enters Q2 with a relatively constructive operational backdrop but a market that appears to want proof that domestic leasing can stabilize as contractual churn rolls through. The core debate is straightforward:</w:t>
      </w:r>
    </w:p>
    <w:p>
      <w:pPr>
        <w:pStyle w:val="Compact"/>
        <w:numPr>
          <w:ilvl w:val="0"/>
          <w:numId w:val="1001"/>
        </w:numPr>
      </w:pPr>
      <w:r>
        <w:rPr>
          <w:b/>
          <w:bCs/>
        </w:rPr>
        <w:t xml:space="preserve">Bull case:</w:t>
      </w:r>
      <w:r>
        <w:t xml:space="preserve"> </w:t>
      </w:r>
      <w:r>
        <w:t xml:space="preserve">U.S. carrier activity, domestic backlog growth, international lease-up of the former Millicom portfolio, and Central America build-to-suit activity support a return to more durable organic growth after the EchoStar and Sprint churn headwinds.</w:t>
      </w:r>
    </w:p>
    <w:p>
      <w:pPr>
        <w:pStyle w:val="Compact"/>
        <w:numPr>
          <w:ilvl w:val="0"/>
          <w:numId w:val="1001"/>
        </w:numPr>
      </w:pPr>
      <w:r>
        <w:rPr>
          <w:b/>
          <w:bCs/>
        </w:rPr>
        <w:t xml:space="preserve">Bear case:</w:t>
      </w:r>
      <w:r>
        <w:t xml:space="preserve"> </w:t>
      </w:r>
      <w:r>
        <w:t xml:space="preserve">Domestic revenue continues to decline, international growth proves acquisition- and FX-dependent, interest costs remain elevated, and the company’s 2026 guidance leaves limited room for upside.</w:t>
      </w:r>
    </w:p>
    <w:p>
      <w:pPr>
        <w:pStyle w:val="FirstParagraph"/>
      </w:pPr>
      <w:r>
        <w:t xml:space="preserve">The stock closed at</w:t>
      </w:r>
      <w:r>
        <w:t xml:space="preserve"> </w:t>
      </w:r>
      <w:r>
        <w:rPr>
          <w:b/>
          <w:bCs/>
        </w:rPr>
        <w:t xml:space="preserve">$181.01 on July 31</w:t>
      </w:r>
      <w:r>
        <w:t xml:space="preserve">, down roughly</w:t>
      </w:r>
      <w:r>
        <w:t xml:space="preserve"> </w:t>
      </w:r>
      <w:r>
        <w:rPr>
          <w:b/>
          <w:bCs/>
        </w:rPr>
        <w:t xml:space="preserve">18% from the $221.20 close immediately following Q1 earnings on April 30</w:t>
      </w:r>
      <w:r>
        <w:t xml:space="preserve">. That pullback raises the importance of management reinforcing its full-year outlook and demonstrating that the operating trajectory—not merely reported results—remains intact.</w:t>
      </w:r>
    </w:p>
    <w:bookmarkEnd w:id="9"/>
    <w:bookmarkStart w:id="14" w:name="what-matters-most-in-the-q2-report"/>
    <w:p>
      <w:pPr>
        <w:pStyle w:val="Heading2"/>
      </w:pPr>
      <w:r>
        <w:t xml:space="preserve">What matters most in the Q2 report</w:t>
      </w:r>
    </w:p>
    <w:bookmarkStart w:id="11" w:name="X91a1064d644de2f8c120d3f7bebf50c5c61346b"/>
    <w:p>
      <w:pPr>
        <w:pStyle w:val="Heading3"/>
      </w:pPr>
      <w:r>
        <w:t xml:space="preserve">1. Domestic leasing: backlog conversion and the post-churn run rate</w:t>
      </w:r>
    </w:p>
    <w:p>
      <w:pPr>
        <w:pStyle w:val="FirstParagraph"/>
      </w:pPr>
      <w:r>
        <w:t xml:space="preserve">This is the most important operating issue. In Q1, domestic site-leasing revenue declined</w:t>
      </w:r>
      <w:r>
        <w:t xml:space="preserve"> </w:t>
      </w:r>
      <w:r>
        <w:rPr>
          <w:b/>
          <w:bCs/>
        </w:rPr>
        <w:t xml:space="preserve">2.3% year over year</w:t>
      </w:r>
      <w:r>
        <w:t xml:space="preserve"> </w:t>
      </w:r>
      <w:r>
        <w:t xml:space="preserve">and domestic tower cash flow declined</w:t>
      </w:r>
      <w:r>
        <w:t xml:space="preserve"> </w:t>
      </w:r>
      <w:r>
        <w:rPr>
          <w:b/>
          <w:bCs/>
        </w:rPr>
        <w:t xml:space="preserve">3.3%</w:t>
      </w:r>
      <w:r>
        <w:t xml:space="preserve">, reflecting the loss of EchoStar revenue and ongoing Sprint consolidation churn. Yet management reported about</w:t>
      </w:r>
      <w:r>
        <w:t xml:space="preserve"> </w:t>
      </w:r>
      <w:r>
        <w:rPr>
          <w:b/>
          <w:bCs/>
        </w:rPr>
        <w:t xml:space="preserve">$10 million of year-over-year quarterly new lease and amendment billings</w:t>
      </w:r>
      <w:r>
        <w:t xml:space="preserve"> </w:t>
      </w:r>
      <w:r>
        <w:t xml:space="preserve">in the U.S. and characterized domestic backlog growth as moderate but positive. (</w:t>
      </w:r>
      <w:hyperlink r:id="rId10">
        <w:r>
          <w:rPr>
            <w:rStyle w:val="Hyperlink"/>
          </w:rPr>
          <w:t xml:space="preserve">sec.gov</w:t>
        </w:r>
      </w:hyperlink>
      <w:r>
        <w:t xml:space="preserve">)</w:t>
      </w:r>
    </w:p>
    <w:p>
      <w:pPr>
        <w:pStyle w:val="BodyText"/>
      </w:pPr>
      <w:r>
        <w:t xml:space="preserve">For Q2, investors should look for:</w:t>
      </w:r>
    </w:p>
    <w:p>
      <w:pPr>
        <w:pStyle w:val="Compact"/>
        <w:numPr>
          <w:ilvl w:val="0"/>
          <w:numId w:val="1002"/>
        </w:numPr>
      </w:pPr>
      <w:r>
        <w:t xml:space="preserve">Evidence that new leasing and amendments remain at least consistent with Q1’s pace.</w:t>
      </w:r>
    </w:p>
    <w:p>
      <w:pPr>
        <w:pStyle w:val="Compact"/>
        <w:numPr>
          <w:ilvl w:val="0"/>
          <w:numId w:val="1002"/>
        </w:numPr>
      </w:pPr>
      <w:r>
        <w:t xml:space="preserve">Confirmation that the growing backlog is converting into revenue on the expected schedule.</w:t>
      </w:r>
    </w:p>
    <w:p>
      <w:pPr>
        <w:pStyle w:val="Compact"/>
        <w:numPr>
          <w:ilvl w:val="0"/>
          <w:numId w:val="1002"/>
        </w:numPr>
      </w:pPr>
      <w:r>
        <w:t xml:space="preserve">Any change in the outlook for the</w:t>
      </w:r>
      <w:r>
        <w:t xml:space="preserve"> </w:t>
      </w:r>
      <m:oMath>
        <m:r>
          <m:t>56</m:t>
        </m:r>
        <m:r>
          <m:t>m</m:t>
        </m:r>
        <m:r>
          <m:t>i</m:t>
        </m:r>
        <m:r>
          <m:t>l</m:t>
        </m:r>
        <m:r>
          <m:t>l</m:t>
        </m:r>
        <m:r>
          <m:t>i</m:t>
        </m:r>
        <m:r>
          <m:t>o</m:t>
        </m:r>
        <m:r>
          <m:t>n</m:t>
        </m:r>
        <m:r>
          <m:rPr>
            <m:sty m:val="p"/>
          </m:rPr>
          <m:t>*</m:t>
        </m:r>
        <m:r>
          <m:rPr>
            <m:sty m:val="p"/>
          </m:rPr>
          <m:t>*</m:t>
        </m:r>
        <m:r>
          <m:t>o</m:t>
        </m:r>
        <m:r>
          <m:t>f</m:t>
        </m:r>
        <m:r>
          <m:t>f</m:t>
        </m:r>
        <m:r>
          <m:t>u</m:t>
        </m:r>
        <m:r>
          <m:t>l</m:t>
        </m:r>
        <m:r>
          <m:t>l</m:t>
        </m:r>
        <m:r>
          <m:rPr>
            <m:sty m:val="p"/>
          </m:rPr>
          <m:t>−</m:t>
        </m:r>
        <m:r>
          <m:t>y</m:t>
        </m:r>
        <m:r>
          <m:t>e</m:t>
        </m:r>
        <m:r>
          <m:t>a</m:t>
        </m:r>
        <m:r>
          <m:t>r</m:t>
        </m:r>
        <m:r>
          <m:t>E</m:t>
        </m:r>
        <m:r>
          <m:t>c</m:t>
        </m:r>
        <m:r>
          <m:t>h</m:t>
        </m:r>
        <m:r>
          <m:t>o</m:t>
        </m:r>
        <m:r>
          <m:t>S</m:t>
        </m:r>
        <m:r>
          <m:t>t</m:t>
        </m:r>
        <m:r>
          <m:t>a</m:t>
        </m:r>
        <m:r>
          <m:t>r</m:t>
        </m:r>
        <m:r>
          <m:t>c</m:t>
        </m:r>
        <m:r>
          <m:t>h</m:t>
        </m:r>
        <m:r>
          <m:t>u</m:t>
        </m:r>
        <m:r>
          <m:t>r</m:t>
        </m:r>
        <m:r>
          <m:t>n</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55 million</w:t>
      </w:r>
      <w:r>
        <w:t xml:space="preserve"> </w:t>
      </w:r>
      <w:r>
        <w:t xml:space="preserve">of Sprint-related churn embedded in 2026 guidance.</w:t>
      </w:r>
    </w:p>
    <w:p>
      <w:pPr>
        <w:pStyle w:val="Compact"/>
        <w:numPr>
          <w:ilvl w:val="0"/>
          <w:numId w:val="1002"/>
        </w:numPr>
      </w:pPr>
      <w:r>
        <w:t xml:space="preserve">Carrier-specific commentary around 5G densification, fixed-wireless access, C-band deployments, massive-MIMO upgrades, and new-build opportunities.</w:t>
      </w:r>
    </w:p>
    <w:p>
      <w:pPr>
        <w:pStyle w:val="FirstParagraph"/>
      </w:pPr>
      <w:r>
        <w:t xml:space="preserve">A modest domestic beat alone may not change the narrative. A more material positive catalyst would be management saying that customer activity or backlog conversion is improving enough to offset a larger share of 2026 churn than previously expected.</w:t>
      </w:r>
    </w:p>
    <w:bookmarkEnd w:id="11"/>
    <w:bookmarkStart w:id="12" w:name="X29cfe6da0a3d099a38b4809ac82a8f0526bd8f6"/>
    <w:p>
      <w:pPr>
        <w:pStyle w:val="Heading3"/>
      </w:pPr>
      <w:r>
        <w:t xml:space="preserve">2. International performance: organic demand versus FX and acquired assets</w:t>
      </w:r>
    </w:p>
    <w:p>
      <w:pPr>
        <w:pStyle w:val="FirstParagraph"/>
      </w:pPr>
      <w:r>
        <w:t xml:space="preserve">International was the clear growth engine in Q1: site-leasing revenue increased</w:t>
      </w:r>
      <w:r>
        <w:t xml:space="preserve"> </w:t>
      </w:r>
      <w:r>
        <w:rPr>
          <w:b/>
          <w:bCs/>
        </w:rPr>
        <w:t xml:space="preserve">32.6%</w:t>
      </w:r>
      <w:r>
        <w:t xml:space="preserve">, or</w:t>
      </w:r>
      <w:r>
        <w:t xml:space="preserve"> </w:t>
      </w:r>
      <w:r>
        <w:rPr>
          <w:b/>
          <w:bCs/>
        </w:rPr>
        <w:t xml:space="preserve">24.8% excluding FX</w:t>
      </w:r>
      <w:r>
        <w:t xml:space="preserve">, while international tower cash flow rose</w:t>
      </w:r>
      <w:r>
        <w:t xml:space="preserve"> </w:t>
      </w:r>
      <w:r>
        <w:rPr>
          <w:b/>
          <w:bCs/>
        </w:rPr>
        <w:t xml:space="preserve">31.6%</w:t>
      </w:r>
      <w:r>
        <w:t xml:space="preserve">, or</w:t>
      </w:r>
      <w:r>
        <w:t xml:space="preserve"> </w:t>
      </w:r>
      <w:r>
        <w:rPr>
          <w:b/>
          <w:bCs/>
        </w:rPr>
        <w:t xml:space="preserve">23.7% excluding FX</w:t>
      </w:r>
      <w:r>
        <w:t xml:space="preserve">. (</w:t>
      </w:r>
      <w:hyperlink r:id="rId10">
        <w:r>
          <w:rPr>
            <w:rStyle w:val="Hyperlink"/>
          </w:rPr>
          <w:t xml:space="preserve">sec.gov</w:t>
        </w:r>
      </w:hyperlink>
      <w:r>
        <w:t xml:space="preserve">)</w:t>
      </w:r>
    </w:p>
    <w:p>
      <w:pPr>
        <w:pStyle w:val="BodyText"/>
      </w:pPr>
      <w:r>
        <w:t xml:space="preserve">The Q2 question is whether that momentum is sustainable. Investors should focus on:</w:t>
      </w:r>
    </w:p>
    <w:p>
      <w:pPr>
        <w:pStyle w:val="Compact"/>
        <w:numPr>
          <w:ilvl w:val="0"/>
          <w:numId w:val="1003"/>
        </w:numPr>
      </w:pPr>
      <w:r>
        <w:t xml:space="preserve">Lease-up on the acquired Millicom assets, where SBA said demand was exceeding its initial expectations.</w:t>
      </w:r>
    </w:p>
    <w:p>
      <w:pPr>
        <w:pStyle w:val="Compact"/>
        <w:numPr>
          <w:ilvl w:val="0"/>
          <w:numId w:val="1003"/>
        </w:numPr>
      </w:pPr>
      <w:r>
        <w:t xml:space="preserve">The pace of Central America build-to-suit production.</w:t>
      </w:r>
    </w:p>
    <w:p>
      <w:pPr>
        <w:pStyle w:val="Compact"/>
        <w:numPr>
          <w:ilvl w:val="0"/>
          <w:numId w:val="1003"/>
        </w:numPr>
      </w:pPr>
      <w:r>
        <w:t xml:space="preserve">International churn, which management expects to peak in 2026 amid consolidation, bankruptcies, restructurings, and network rationalizations.</w:t>
      </w:r>
    </w:p>
    <w:p>
      <w:pPr>
        <w:pStyle w:val="Compact"/>
        <w:numPr>
          <w:ilvl w:val="0"/>
          <w:numId w:val="1003"/>
        </w:numPr>
      </w:pPr>
      <w:r>
        <w:t xml:space="preserve">Currency effects relative to the FX assumptions embedded in full-year guidance.</w:t>
      </w:r>
    </w:p>
    <w:p>
      <w:pPr>
        <w:pStyle w:val="FirstParagraph"/>
      </w:pPr>
      <w:r>
        <w:t xml:space="preserve">International growth is strategically valuable because it diversifies SBA’s asset base and provides a sizable runway for lease-up and new builds. However, investors will distinguish between recurring tenant demand and growth driven by acquisition comparisons or favorable foreign exchange.</w:t>
      </w:r>
    </w:p>
    <w:bookmarkEnd w:id="12"/>
    <w:bookmarkStart w:id="13" w:name="Xd4bd8618fabf1dab6c1d76320bc641ae7ac8a88"/>
    <w:p>
      <w:pPr>
        <w:pStyle w:val="Heading3"/>
      </w:pPr>
      <w:r>
        <w:t xml:space="preserve">3. Guidance: maintaining the Q1-raised outlook is the minimum bar</w:t>
      </w:r>
    </w:p>
    <w:p>
      <w:pPr>
        <w:pStyle w:val="FirstParagraph"/>
      </w:pPr>
      <w:r>
        <w:t xml:space="preserve">After Q1, SBA increased its 2026 outlook across its primary metrics. The current ranges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 2026 outlook</w:t>
            </w:r>
          </w:p>
        </w:tc>
      </w:tr>
      <w:tr>
        <w:tc>
          <w:tcPr/>
          <w:p>
            <w:pPr>
              <w:pStyle w:val="Compact"/>
            </w:pPr>
            <w:r>
              <w:t xml:space="preserve">Site-leasing revenue</w:t>
            </w:r>
          </w:p>
        </w:tc>
        <w:tc>
          <w:tcPr/>
          <w:p>
            <w:pPr>
              <w:pStyle w:val="Compact"/>
              <w:jc w:val="right"/>
            </w:pPr>
            <m:oMath>
              <m:r>
                <m:t>2.649</m:t>
              </m:r>
              <m:r>
                <m:t>B</m:t>
              </m:r>
              <m:r>
                <m:rPr>
                  <m:sty m:val="p"/>
                </m:rPr>
                <m:t>–</m:t>
              </m:r>
            </m:oMath>
            <w:r>
              <w:rPr>
                <w:b/>
                <w:bCs/>
              </w:rPr>
              <w:t xml:space="preserve">2.674B</w:t>
            </w:r>
          </w:p>
        </w:tc>
      </w:tr>
      <w:tr>
        <w:tc>
          <w:tcPr/>
          <w:p>
            <w:pPr>
              <w:pStyle w:val="Compact"/>
            </w:pPr>
            <w:r>
              <w:t xml:space="preserve">Tower cash flow</w:t>
            </w:r>
          </w:p>
        </w:tc>
        <w:tc>
          <w:tcPr/>
          <w:p>
            <w:pPr>
              <w:pStyle w:val="Compact"/>
              <w:jc w:val="right"/>
            </w:pPr>
            <m:oMath>
              <m:r>
                <m:t>2.092</m:t>
              </m:r>
              <m:r>
                <m:t>B</m:t>
              </m:r>
              <m:r>
                <m:rPr>
                  <m:sty m:val="p"/>
                </m:rPr>
                <m:t>–</m:t>
              </m:r>
            </m:oMath>
            <w:r>
              <w:rPr>
                <w:b/>
                <w:bCs/>
              </w:rPr>
              <w:t xml:space="preserve">2.112B</w:t>
            </w:r>
          </w:p>
        </w:tc>
      </w:tr>
      <w:tr>
        <w:tc>
          <w:tcPr/>
          <w:p>
            <w:pPr>
              <w:pStyle w:val="Compact"/>
            </w:pPr>
            <w:r>
              <w:t xml:space="preserve">Adjusted EBITDA</w:t>
            </w:r>
          </w:p>
        </w:tc>
        <w:tc>
          <w:tcPr/>
          <w:p>
            <w:pPr>
              <w:pStyle w:val="Compact"/>
              <w:jc w:val="right"/>
            </w:pPr>
            <m:oMath>
              <m:r>
                <m:t>1.921</m:t>
              </m:r>
              <m:r>
                <m:t>B</m:t>
              </m:r>
              <m:r>
                <m:rPr>
                  <m:sty m:val="p"/>
                </m:rPr>
                <m:t>–</m:t>
              </m:r>
            </m:oMath>
            <w:r>
              <w:rPr>
                <w:b/>
                <w:bCs/>
              </w:rPr>
              <w:t xml:space="preserve">1.941B</w:t>
            </w:r>
          </w:p>
        </w:tc>
      </w:tr>
      <w:tr>
        <w:tc>
          <w:tcPr/>
          <w:p>
            <w:pPr>
              <w:pStyle w:val="Compact"/>
            </w:pPr>
            <w:r>
              <w:t xml:space="preserve">AFFO</w:t>
            </w:r>
          </w:p>
        </w:tc>
        <w:tc>
          <w:tcPr/>
          <w:p>
            <w:pPr>
              <w:pStyle w:val="Compact"/>
              <w:jc w:val="right"/>
            </w:pPr>
            <m:oMath>
              <m:r>
                <m:t>1.269</m:t>
              </m:r>
              <m:r>
                <m:t>B</m:t>
              </m:r>
              <m:r>
                <m:rPr>
                  <m:sty m:val="p"/>
                </m:rPr>
                <m:t>–</m:t>
              </m:r>
            </m:oMath>
            <w:r>
              <w:rPr>
                <w:b/>
                <w:bCs/>
              </w:rPr>
              <w:t xml:space="preserve">1.317B</w:t>
            </w:r>
          </w:p>
        </w:tc>
      </w:tr>
      <w:tr>
        <w:tc>
          <w:tcPr/>
          <w:p>
            <w:pPr>
              <w:pStyle w:val="Compact"/>
            </w:pPr>
            <w:r>
              <w:t xml:space="preserve">AFFO per share</w:t>
            </w:r>
          </w:p>
        </w:tc>
        <w:tc>
          <w:tcPr/>
          <w:p>
            <w:pPr>
              <w:pStyle w:val="Compact"/>
              <w:jc w:val="right"/>
            </w:pPr>
            <m:oMath>
              <m:r>
                <m:t>11.93</m:t>
              </m:r>
              <m:r>
                <m:rPr>
                  <m:sty m:val="p"/>
                </m:rPr>
                <m:t>–</m:t>
              </m:r>
            </m:oMath>
            <w:r>
              <w:rPr>
                <w:b/>
                <w:bCs/>
              </w:rPr>
              <w:t xml:space="preserve">12.38</w:t>
            </w:r>
          </w:p>
        </w:tc>
      </w:tr>
      <w:tr>
        <w:tc>
          <w:tcPr/>
          <w:p>
            <w:pPr>
              <w:pStyle w:val="Compact"/>
            </w:pPr>
            <w:r>
              <w:t xml:space="preserve">Discretionary capex</w:t>
            </w:r>
          </w:p>
        </w:tc>
        <w:tc>
          <w:tcPr/>
          <w:p>
            <w:pPr>
              <w:pStyle w:val="Compact"/>
              <w:jc w:val="right"/>
            </w:pPr>
            <m:oMath>
              <m:r>
                <m:t>430</m:t>
              </m:r>
              <m:r>
                <m:t>M</m:t>
              </m:r>
              <m:r>
                <m:rPr>
                  <m:sty m:val="p"/>
                </m:rPr>
                <m:t>–</m:t>
              </m:r>
            </m:oMath>
            <w:r>
              <w:rPr>
                <w:b/>
                <w:bCs/>
              </w:rPr>
              <w:t xml:space="preserve">450M</w:t>
            </w:r>
          </w:p>
        </w:tc>
      </w:tr>
    </w:tbl>
    <w:p>
      <w:pPr>
        <w:pStyle w:val="BodyText"/>
      </w:pPr>
      <w:r>
        <w:t xml:space="preserve">The Q1 guide increase was supported by first-quarter outperformance, higher straight-line revenue, and favorable FX. Accordingly, Q2 will need to show that operational trends—not just accounting and currency tailwinds—support the raised outlook. (</w:t>
      </w:r>
      <w:hyperlink r:id="rId10">
        <w:r>
          <w:rPr>
            <w:rStyle w:val="Hyperlink"/>
          </w:rPr>
          <w:t xml:space="preserve">sec.gov</w:t>
        </w:r>
      </w:hyperlink>
      <w:r>
        <w:t xml:space="preserve">)</w:t>
      </w:r>
    </w:p>
    <w:p>
      <w:pPr>
        <w:pStyle w:val="BodyText"/>
      </w:pPr>
      <w:r>
        <w:rPr>
          <w:b/>
          <w:bCs/>
        </w:rPr>
        <w:t xml:space="preserve">Preview framing:</w:t>
      </w:r>
      <w:r>
        <w:t xml:space="preserve"> </w:t>
      </w:r>
      <w:r>
        <w:t xml:space="preserve">reaffirmation should be viewed as acceptable; an increase would require a combination of better-than-planned leasing, favorable FX, or sustained upside from international assets. A cut—particularly tied to U.S. leasing, churn, or interest expense—would likely be poorly received.</w:t>
      </w:r>
    </w:p>
    <w:bookmarkEnd w:id="13"/>
    <w:bookmarkEnd w:id="14"/>
    <w:bookmarkStart w:id="16" w:name="Xb0ea7a3242c6a1ca2a417b90414fe5c482febf1"/>
    <w:p>
      <w:pPr>
        <w:pStyle w:val="Heading2"/>
      </w:pPr>
      <w:r>
        <w:t xml:space="preserve">Capital structure is now a major incremental positive</w:t>
      </w:r>
    </w:p>
    <w:p>
      <w:pPr>
        <w:pStyle w:val="FirstParagraph"/>
      </w:pPr>
      <w:r>
        <w:t xml:space="preserve">The most meaningful development since quarter-end is SBA’s</w:t>
      </w:r>
      <w:r>
        <w:t xml:space="preserve"> </w:t>
      </w:r>
      <w:r>
        <w:rPr>
          <w:b/>
          <w:bCs/>
        </w:rPr>
        <w:t xml:space="preserve">July 23 refinancing</w:t>
      </w:r>
      <w:r>
        <w:t xml:space="preserve">. The company issued</w:t>
      </w:r>
      <w:r>
        <w:t xml:space="preserve"> </w:t>
      </w:r>
      <w:r>
        <w:rPr>
          <w:b/>
          <w:bCs/>
        </w:rPr>
        <w:t xml:space="preserve">$3.5 billion</w:t>
      </w:r>
      <w:r>
        <w:t xml:space="preserve"> </w:t>
      </w:r>
      <w:r>
        <w:t xml:space="preserve">of senior unsecured notes:</w:t>
      </w:r>
    </w:p>
    <w:p>
      <w:pPr>
        <w:pStyle w:val="Compact"/>
        <w:numPr>
          <w:ilvl w:val="0"/>
          <w:numId w:val="1004"/>
        </w:numPr>
      </w:pPr>
      <w:r>
        <w:t xml:space="preserve">$1.35B of</w:t>
      </w:r>
      <w:r>
        <w:t xml:space="preserve"> </w:t>
      </w:r>
      <w:r>
        <w:rPr>
          <w:b/>
          <w:bCs/>
        </w:rPr>
        <w:t xml:space="preserve">4.875%</w:t>
      </w:r>
      <w:r>
        <w:t xml:space="preserve"> </w:t>
      </w:r>
      <w:r>
        <w:t xml:space="preserve">notes due 2030</w:t>
      </w:r>
    </w:p>
    <w:p>
      <w:pPr>
        <w:pStyle w:val="Compact"/>
        <w:numPr>
          <w:ilvl w:val="0"/>
          <w:numId w:val="1004"/>
        </w:numPr>
      </w:pPr>
      <w:r>
        <w:t xml:space="preserve">$1.35B of</w:t>
      </w:r>
      <w:r>
        <w:t xml:space="preserve"> </w:t>
      </w:r>
      <w:r>
        <w:rPr>
          <w:b/>
          <w:bCs/>
        </w:rPr>
        <w:t xml:space="preserve">5.150%</w:t>
      </w:r>
      <w:r>
        <w:t xml:space="preserve"> </w:t>
      </w:r>
      <w:r>
        <w:t xml:space="preserve">notes due 2031</w:t>
      </w:r>
    </w:p>
    <w:p>
      <w:pPr>
        <w:pStyle w:val="Compact"/>
        <w:numPr>
          <w:ilvl w:val="0"/>
          <w:numId w:val="1004"/>
        </w:numPr>
      </w:pPr>
      <w:r>
        <w:t xml:space="preserve">$800M of</w:t>
      </w:r>
      <w:r>
        <w:t xml:space="preserve"> </w:t>
      </w:r>
      <w:r>
        <w:rPr>
          <w:b/>
          <w:bCs/>
        </w:rPr>
        <w:t xml:space="preserve">5.450%</w:t>
      </w:r>
      <w:r>
        <w:t xml:space="preserve"> </w:t>
      </w:r>
      <w:r>
        <w:t xml:space="preserve">notes due 2033</w:t>
      </w:r>
    </w:p>
    <w:p>
      <w:pPr>
        <w:pStyle w:val="FirstParagraph"/>
      </w:pPr>
      <w:r>
        <w:t xml:space="preserve">SBA used proceeds to repay its senior secured term loan and the outstanding borrowings on its prior senior secured revolver. It also established a new</w:t>
      </w:r>
      <w:r>
        <w:t xml:space="preserve"> </w:t>
      </w:r>
      <w:r>
        <w:rPr>
          <w:b/>
          <w:bCs/>
        </w:rPr>
        <w:t xml:space="preserve">$2.5 billion senior unsecured revolving credit facility</w:t>
      </w:r>
      <w:r>
        <w:t xml:space="preserve"> </w:t>
      </w:r>
      <w:r>
        <w:t xml:space="preserve">maturing in July 2031. (</w:t>
      </w:r>
      <w:hyperlink r:id="rId15">
        <w:r>
          <w:rPr>
            <w:rStyle w:val="Hyperlink"/>
          </w:rPr>
          <w:t xml:space="preserve">sec.gov</w:t>
        </w:r>
      </w:hyperlink>
      <w:r>
        <w:t xml:space="preserve">)</w:t>
      </w:r>
    </w:p>
    <w:p>
      <w:pPr>
        <w:pStyle w:val="BodyText"/>
      </w:pPr>
      <w:r>
        <w:t xml:space="preserve">This does not necessarily produce an immediate earnings upside, but it improves the capital-structure narrative: longer-dated unsecured funding, retired secured debt, and greater liquidity flexibility. On the call, investors will want clarity on:</w:t>
      </w:r>
    </w:p>
    <w:p>
      <w:pPr>
        <w:pStyle w:val="Compact"/>
        <w:numPr>
          <w:ilvl w:val="0"/>
          <w:numId w:val="1005"/>
        </w:numPr>
      </w:pPr>
      <w:r>
        <w:t xml:space="preserve">Expected run-rate cash interest expense after the refinancing;</w:t>
      </w:r>
    </w:p>
    <w:p>
      <w:pPr>
        <w:pStyle w:val="Compact"/>
        <w:numPr>
          <w:ilvl w:val="0"/>
          <w:numId w:val="1005"/>
        </w:numPr>
      </w:pPr>
      <w:r>
        <w:t xml:space="preserve">Remaining plans for the</w:t>
      </w:r>
      <w:r>
        <w:t xml:space="preserve"> </w:t>
      </w:r>
      <w:r>
        <w:rPr>
          <w:b/>
          <w:bCs/>
        </w:rPr>
        <w:t xml:space="preserve">$1.165 billion November 2026 ABS maturity</w:t>
      </w:r>
      <w:r>
        <w:t xml:space="preserve"> </w:t>
      </w:r>
      <w:r>
        <w:t xml:space="preserve">assumed in prior guidance;</w:t>
      </w:r>
    </w:p>
    <w:p>
      <w:pPr>
        <w:pStyle w:val="Compact"/>
        <w:numPr>
          <w:ilvl w:val="0"/>
          <w:numId w:val="1005"/>
        </w:numPr>
      </w:pPr>
      <w:r>
        <w:t xml:space="preserve">Updated leverage and secured-leverage levels;</w:t>
      </w:r>
    </w:p>
    <w:p>
      <w:pPr>
        <w:pStyle w:val="Compact"/>
        <w:numPr>
          <w:ilvl w:val="0"/>
          <w:numId w:val="1005"/>
        </w:numPr>
      </w:pPr>
      <w:r>
        <w:t xml:space="preserve">The path toward management’s stated investment-grade objective; and</w:t>
      </w:r>
    </w:p>
    <w:p>
      <w:pPr>
        <w:pStyle w:val="Compact"/>
        <w:numPr>
          <w:ilvl w:val="0"/>
          <w:numId w:val="1005"/>
        </w:numPr>
      </w:pPr>
      <w:r>
        <w:t xml:space="preserve">Whether excess capital after debt reduction will shift back toward share repurchases.</w:t>
      </w:r>
    </w:p>
    <w:bookmarkEnd w:id="16"/>
    <w:bookmarkStart w:id="17" w:name="X051b64dd945a9a7e27a4e78fde045ede30167e7"/>
    <w:p>
      <w:pPr>
        <w:pStyle w:val="Heading2"/>
      </w:pPr>
      <w:r>
        <w:t xml:space="preserve">Capital allocation: dividends are secure; buybacks remain discretionary</w:t>
      </w:r>
    </w:p>
    <w:p>
      <w:pPr>
        <w:pStyle w:val="FirstParagraph"/>
      </w:pPr>
      <w:r>
        <w:t xml:space="preserve">SBA’s quarterly dividend is</w:t>
      </w:r>
      <w:r>
        <w:t xml:space="preserve"> </w:t>
      </w:r>
      <w:r>
        <w:rPr>
          <w:b/>
          <w:bCs/>
        </w:rPr>
        <w:t xml:space="preserve">$1.25 per share</w:t>
      </w:r>
      <w:r>
        <w:t xml:space="preserve">, and Q1 management described it as only about</w:t>
      </w:r>
      <w:r>
        <w:t xml:space="preserve"> </w:t>
      </w:r>
      <w:r>
        <w:rPr>
          <w:b/>
          <w:bCs/>
        </w:rPr>
        <w:t xml:space="preserve">41% of midpoint AFFO guidance</w:t>
      </w:r>
      <w:r>
        <w:t xml:space="preserve">. That leaves meaningful retained cash flow for tower builds, land purchases, debt reduction, acquisitions, and repurchases. (</w:t>
      </w:r>
      <w:hyperlink r:id="rId10">
        <w:r>
          <w:rPr>
            <w:rStyle w:val="Hyperlink"/>
          </w:rPr>
          <w:t xml:space="preserve">sec.gov</w:t>
        </w:r>
      </w:hyperlink>
      <w:r>
        <w:t xml:space="preserve">)</w:t>
      </w:r>
    </w:p>
    <w:p>
      <w:pPr>
        <w:pStyle w:val="BodyText"/>
      </w:pPr>
      <w:r>
        <w:t xml:space="preserve">The key near-term uncertainty is the buyback pace. Management had</w:t>
      </w:r>
      <w:r>
        <w:t xml:space="preserve"> </w:t>
      </w:r>
      <w:r>
        <w:rPr>
          <w:b/>
          <w:bCs/>
        </w:rPr>
        <w:t xml:space="preserve">$1.1 billion</w:t>
      </w:r>
      <w:r>
        <w:t xml:space="preserve"> </w:t>
      </w:r>
      <w:r>
        <w:t xml:space="preserve">remaining under its authorization after Q1, but it prioritized revolver repayment rather than meaningful repurchases. A refinancing-completed balance sheet could make buybacks more plausible later in 2026, although management will likely continue to prioritize the highest-return option among deleveraging, builds, acquisitions, and repurchases.</w:t>
      </w:r>
    </w:p>
    <w:bookmarkEnd w:id="17"/>
    <w:bookmarkStart w:id="20" w:name="Xecb0a137eb7ac906ba4fb07072e80c5e908f16d"/>
    <w:p>
      <w:pPr>
        <w:pStyle w:val="Heading2"/>
      </w:pPr>
      <w:r>
        <w:t xml:space="preserve">What would constitute a good or bad quarter?</w:t>
      </w:r>
    </w:p>
    <w:bookmarkStart w:id="18" w:name="better-than-expected-outcome"/>
    <w:p>
      <w:pPr>
        <w:pStyle w:val="Heading3"/>
      </w:pPr>
      <w:r>
        <w:t xml:space="preserve">Better-than-expected outcome</w:t>
      </w:r>
    </w:p>
    <w:p>
      <w:pPr>
        <w:pStyle w:val="Compact"/>
        <w:numPr>
          <w:ilvl w:val="0"/>
          <w:numId w:val="1006"/>
        </w:numPr>
      </w:pPr>
      <w:r>
        <w:t xml:space="preserve">Domestic new lease/amendment activity and backlog improve sequentially.</w:t>
      </w:r>
    </w:p>
    <w:p>
      <w:pPr>
        <w:pStyle w:val="Compact"/>
        <w:numPr>
          <w:ilvl w:val="0"/>
          <w:numId w:val="1006"/>
        </w:numPr>
      </w:pPr>
      <w:r>
        <w:t xml:space="preserve">International lease-up and Central America construction remain ahead of plan.</w:t>
      </w:r>
    </w:p>
    <w:p>
      <w:pPr>
        <w:pStyle w:val="Compact"/>
        <w:numPr>
          <w:ilvl w:val="0"/>
          <w:numId w:val="1006"/>
        </w:numPr>
      </w:pPr>
      <w:r>
        <w:t xml:space="preserve">Full-year AFFO/share guidance is raised or management signals that the midpoint is increasingly conservative.</w:t>
      </w:r>
    </w:p>
    <w:p>
      <w:pPr>
        <w:pStyle w:val="Compact"/>
        <w:numPr>
          <w:ilvl w:val="0"/>
          <w:numId w:val="1006"/>
        </w:numPr>
      </w:pPr>
      <w:r>
        <w:t xml:space="preserve">Refinancing lowers expected interest burden or advances the investment-grade strategy.</w:t>
      </w:r>
    </w:p>
    <w:p>
      <w:pPr>
        <w:pStyle w:val="Compact"/>
        <w:numPr>
          <w:ilvl w:val="0"/>
          <w:numId w:val="1006"/>
        </w:numPr>
      </w:pPr>
      <w:r>
        <w:t xml:space="preserve">Capital allocation commentary becomes more constructive on repurchases.</w:t>
      </w:r>
    </w:p>
    <w:bookmarkEnd w:id="18"/>
    <w:bookmarkStart w:id="19" w:name="disappointing-outcome"/>
    <w:p>
      <w:pPr>
        <w:pStyle w:val="Heading3"/>
      </w:pPr>
      <w:r>
        <w:t xml:space="preserve">Disappointing outcome</w:t>
      </w:r>
    </w:p>
    <w:p>
      <w:pPr>
        <w:pStyle w:val="Compact"/>
        <w:numPr>
          <w:ilvl w:val="0"/>
          <w:numId w:val="1007"/>
        </w:numPr>
      </w:pPr>
      <w:r>
        <w:t xml:space="preserve">Domestic leasing activity softens or backlog stops building.</w:t>
      </w:r>
    </w:p>
    <w:p>
      <w:pPr>
        <w:pStyle w:val="Compact"/>
        <w:numPr>
          <w:ilvl w:val="0"/>
          <w:numId w:val="1007"/>
        </w:numPr>
      </w:pPr>
      <w:r>
        <w:t xml:space="preserve">EchoStar/Sprint churn outlook worsens or is pushed into later periods.</w:t>
      </w:r>
    </w:p>
    <w:p>
      <w:pPr>
        <w:pStyle w:val="Compact"/>
        <w:numPr>
          <w:ilvl w:val="0"/>
          <w:numId w:val="1007"/>
        </w:numPr>
      </w:pPr>
      <w:r>
        <w:t xml:space="preserve">International growth disappoints on organic leasing or churn.</w:t>
      </w:r>
    </w:p>
    <w:p>
      <w:pPr>
        <w:pStyle w:val="Compact"/>
        <w:numPr>
          <w:ilvl w:val="0"/>
          <w:numId w:val="1007"/>
        </w:numPr>
      </w:pPr>
      <w:r>
        <w:t xml:space="preserve">FX becomes a headwind to guidance.</w:t>
      </w:r>
    </w:p>
    <w:p>
      <w:pPr>
        <w:pStyle w:val="Compact"/>
        <w:numPr>
          <w:ilvl w:val="0"/>
          <w:numId w:val="1007"/>
        </w:numPr>
      </w:pPr>
      <w:r>
        <w:t xml:space="preserve">Management maintains guidance but cites a weaker operating setup or higher interest costs.</w:t>
      </w:r>
    </w:p>
    <w:bookmarkEnd w:id="19"/>
    <w:bookmarkEnd w:id="20"/>
    <w:bookmarkStart w:id="21" w:name="bottom-line"/>
    <w:p>
      <w:pPr>
        <w:pStyle w:val="Heading2"/>
      </w:pPr>
      <w:r>
        <w:t xml:space="preserve">Bottom line</w:t>
      </w:r>
    </w:p>
    <w:p>
      <w:pPr>
        <w:pStyle w:val="FirstParagraph"/>
      </w:pPr>
      <w:r>
        <w:t xml:space="preserve">SBAC’s Q2 report should be judged primarily on</w:t>
      </w:r>
      <w:r>
        <w:t xml:space="preserve"> </w:t>
      </w:r>
      <w:r>
        <w:rPr>
          <w:b/>
          <w:bCs/>
        </w:rPr>
        <w:t xml:space="preserve">domestic leasing stabilization, international organic momentum, and confidence in 2026 AFFO per share</w:t>
      </w:r>
      <w:r>
        <w:t xml:space="preserve">, rather than GAAP EPS. The Q1 results established that SBA can offset domestic churn through international growth, new leases, and disciplined margins; Q2 needs to validate that this is a sustainable trajectory.</w:t>
      </w:r>
    </w:p>
    <w:p>
      <w:pPr>
        <w:pStyle w:val="BodyText"/>
      </w:pPr>
      <w:r>
        <w:t xml:space="preserve">The July refinancing is an important balance-sheet de-risking event heading into the call. If management pairs that financing progress with sustained backlog growth and a firm 2026 outlook, the setup supports a more constructive investor reaction. If the company instead signals that domestic churn or leasing softness is lasting longer than anticipated, the stock’s recent decline may not be sufficient to clear the concern.</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www.sec.gov/Archives/edgar/data/1034054/000119312526191545/d49075dex991.htm" TargetMode="External" /><Relationship Type="http://schemas.openxmlformats.org/officeDocument/2006/relationships/hyperlink" Id="rId15" Target="https://www.sec.gov/Archives/edgar/data/1034054/000119312526315142/d130705d8k.htm" TargetMode="External" /></Relationships>
</file>

<file path=word/_rels/footnotes.xml.rels><?xml version="1.0" encoding="UTF-8"?><Relationships xmlns="http://schemas.openxmlformats.org/package/2006/relationships"><Relationship Type="http://schemas.openxmlformats.org/officeDocument/2006/relationships/hyperlink" Id="rId10" Target="https://www.sec.gov/Archives/edgar/data/1034054/000119312526191545/d49075dex991.htm" TargetMode="External" /><Relationship Type="http://schemas.openxmlformats.org/officeDocument/2006/relationships/hyperlink" Id="rId15" Target="https://www.sec.gov/Archives/edgar/data/1034054/000119312526315142/d130705d8k.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2026-08-03T00:09:56Z</dcterms:created>
  <dcterms:modified xsi:type="dcterms:W3CDTF">2026-08-03T00:09:56Z</dcterms:modified>
</cp:coreProperties>
</file>

<file path=docProps/custom.xml><?xml version="1.0" encoding="utf-8"?>
<Properties xmlns="http://schemas.openxmlformats.org/officeDocument/2006/custom-properties" xmlns:vt="http://schemas.openxmlformats.org/officeDocument/2006/docPropsVTypes"/>
</file>