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SBA Communications Corporation (SBAC)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SBA Communications Corporation</w:t>
            </w:r>
          </w:p>
        </w:tc>
      </w:tr>
      <w:tr>
        <w:tc>
          <w:tcPr>
            <w:tcW w:type="dxa" w:w="4320"/>
          </w:tcPr>
          <w:p>
            <w:r>
              <w:rPr>
                <w:rFonts w:ascii="Calibri" w:hAnsi="Calibri"/>
                <w:b/>
                <w:sz w:val="22"/>
              </w:rPr>
              <w:t>Ticker</w:t>
            </w:r>
          </w:p>
        </w:tc>
        <w:tc>
          <w:tcPr>
            <w:tcW w:type="dxa" w:w="4320"/>
          </w:tcPr>
          <w:p>
            <w:r>
              <w:rPr>
                <w:rFonts w:ascii="Calibri" w:hAnsi="Calibri"/>
                <w:sz w:val="22"/>
              </w:rPr>
              <w:t>SBAC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Expected Earnings Date</w:t>
            </w:r>
          </w:p>
        </w:tc>
        <w:tc>
          <w:tcPr>
            <w:tcW w:type="dxa" w:w="4320"/>
          </w:tcPr>
          <w:p>
            <w:r>
              <w:rPr>
                <w:rFonts w:ascii="Calibri" w:hAnsi="Calibri"/>
                <w:sz w:val="22"/>
              </w:rPr>
              <w:t>Late July / Early August 2026 (not yet announced)</w:t>
            </w:r>
          </w:p>
        </w:tc>
      </w:tr>
      <w:tr>
        <w:tc>
          <w:tcPr>
            <w:tcW w:type="dxa" w:w="4320"/>
          </w:tcPr>
          <w:p>
            <w:r>
              <w:rPr>
                <w:rFonts w:ascii="Calibri" w:hAnsi="Calibri"/>
                <w:b/>
                <w:sz w:val="22"/>
              </w:rPr>
              <w:t>Last Earnings Date</w:t>
            </w:r>
          </w:p>
        </w:tc>
        <w:tc>
          <w:tcPr>
            <w:tcW w:type="dxa" w:w="4320"/>
          </w:tcPr>
          <w:p>
            <w:r>
              <w:rPr>
                <w:rFonts w:ascii="Calibri" w:hAnsi="Calibri"/>
                <w:sz w:val="22"/>
              </w:rPr>
              <w:t>April 29, 2026 (Q1 2026)</w:t>
            </w:r>
          </w:p>
        </w:tc>
      </w:tr>
      <w:tr>
        <w:tc>
          <w:tcPr>
            <w:tcW w:type="dxa" w:w="4320"/>
          </w:tcPr>
          <w:p>
            <w:r>
              <w:rPr>
                <w:rFonts w:ascii="Calibri" w:hAnsi="Calibri"/>
                <w:b/>
                <w:sz w:val="22"/>
              </w:rPr>
              <w:t>Prepared Date</w:t>
            </w:r>
          </w:p>
        </w:tc>
        <w:tc>
          <w:tcPr>
            <w:tcW w:type="dxa" w:w="4320"/>
          </w:tcPr>
          <w:p>
            <w:r>
              <w:rPr>
                <w:rFonts w:ascii="Calibri" w:hAnsi="Calibri"/>
                <w:sz w:val="22"/>
              </w:rPr>
              <w:t>August 2, 2026</w:t>
            </w:r>
          </w:p>
        </w:tc>
      </w:tr>
      <w:tr>
        <w:tc>
          <w:tcPr>
            <w:tcW w:type="dxa" w:w="4320"/>
          </w:tcPr>
          <w:p>
            <w:r>
              <w:rPr>
                <w:rFonts w:ascii="Calibri" w:hAnsi="Calibri"/>
                <w:b/>
                <w:sz w:val="22"/>
              </w:rPr>
              <w:t>Sector ETF (Benchmark)</w:t>
            </w:r>
          </w:p>
        </w:tc>
        <w:tc>
          <w:tcPr>
            <w:tcW w:type="dxa" w:w="4320"/>
          </w:tcPr>
          <w:p>
            <w:r>
              <w:rPr>
                <w:rFonts w:ascii="Calibri" w:hAnsi="Calibri"/>
                <w:sz w:val="22"/>
              </w:rPr>
              <w:t>Peers: AMT, CCI (tower REIT sub-sector)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modestly constructive — consensus is a manageable bar with AFFO/share at ~$2.99 vs. Q2 2025 actual of $3.16, reflecting known headwinds — but the </w:t>
      </w:r>
      <w:r>
        <w:rPr>
          <w:rFonts w:ascii="Calibri" w:hAnsi="Calibri"/>
          <w:b/>
          <w:color w:val="525866"/>
          <w:sz w:val="22"/>
        </w:rPr>
        <w:t>single biggest swing factor is whether domestic organic leasing momentum (currently running at roughly −3% organic growth) shows any sequential improvement</w:t>
      </w:r>
      <w:r>
        <w:rPr>
          <w:rFonts w:ascii="Calibri" w:hAnsi="Calibri"/>
          <w:color w:val="525866"/>
          <w:sz w:val="22"/>
        </w:rPr>
        <w:t xml:space="preserve"> as Verizon MLA activity ramps and Sprint/EchoStar churn anniversaries approach.</w:t>
      </w:r>
    </w:p>
    <w:p>
      <w:r>
        <w:rPr>
          <w:rFonts w:ascii="Calibri" w:hAnsi="Calibri"/>
          <w:color w:val="525866"/>
          <w:sz w:val="22"/>
        </w:rPr>
        <w:t xml:space="preserve">Heading into Q2 2026, the bar for SBAC is set against a backdrop of well-understood, largely non-recurring headwinds: </w:t>
      </w:r>
      <w:r>
        <w:rPr>
          <w:rFonts w:ascii="Calibri" w:hAnsi="Calibri"/>
          <w:b/>
          <w:color w:val="525866"/>
          <w:sz w:val="22"/>
        </w:rPr>
        <w:t>Sprint and EchoStar churn (~$112M combined full-year drag)</w:t>
      </w:r>
      <w:r>
        <w:rPr>
          <w:rFonts w:ascii="Calibri" w:hAnsi="Calibri"/>
          <w:color w:val="525866"/>
          <w:sz w:val="22"/>
        </w:rPr>
        <w:t xml:space="preserve"> and elevated interest costs from refinancing legacy low-coupon ABS debt. Management's Q1 beat-and-raise was modest — full-year AFFO/share guidance raised by only $0.09 to $11.93–$12.38 — and the stock's muted reaction to that print (already up sharply on take-private speculation) suggests the market is looking for incremental evidence of leasing acceleration rather than another guidance nudge. </w:t>
      </w:r>
      <w:r>
        <w:rPr>
          <w:rFonts w:ascii="Calibri" w:hAnsi="Calibri"/>
          <w:b/>
          <w:color w:val="525866"/>
          <w:sz w:val="22"/>
        </w:rPr>
        <w:t>Verizon is now SBAC's most active carrier customer in 2026</w:t>
      </w:r>
      <w:r>
        <w:rPr>
          <w:rFonts w:ascii="Calibri" w:hAnsi="Calibri"/>
          <w:color w:val="525866"/>
          <w:sz w:val="22"/>
        </w:rPr>
        <w:t xml:space="preserve"> following the November 2025 MLA signing, and domestic backlogs increased moderately in Q1 — both constructive signals for Q2 leasing revenue. Estimate revisions have been essentially flat since the Q1 print (AFFO/share consensus barely moved from $2.986 to $2.992), suggesting the street is neither adding cushion nor cutting numbers, which leaves the stock vulnerable to a miss but also means a clean beat could drive upside. The stock has declined ~16% since the April 29 earnings date (from $216 to ~$181), underperforming AMT (−3%) and CCI (−11%), as take-private speculation faded and the sector sold off on rate concerns — leaving valuation less stretched and the setup more balanced. The </w:t>
      </w:r>
      <w:r>
        <w:rPr>
          <w:rFonts w:ascii="Calibri" w:hAnsi="Calibri"/>
          <w:b/>
          <w:color w:val="525866"/>
          <w:sz w:val="22"/>
        </w:rPr>
        <w:t>key wildcard is the $3.5B unsecured notes offering completed July 23</w:t>
      </w:r>
      <w:r>
        <w:rPr>
          <w:rFonts w:ascii="Calibri" w:hAnsi="Calibri"/>
          <w:color w:val="525866"/>
          <w:sz w:val="22"/>
        </w:rPr>
        <w:t xml:space="preserve"> — SBAC's inaugural investment-grade bond issuance — which refinanced the secured term loan and revolver at investment-grade rates; the interest expense impact on Q2 guidance and the updated 2026 outlook will be the most watched item on the call.</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 AFFO/share at $2.99 is already below Q2 2025's $3.16 actual, fully pricing in known churn and interest headwinds. </w:t>
      </w:r>
      <w:r>
        <w:rPr>
          <w:rFonts w:ascii="Calibri" w:hAnsi="Calibri"/>
          <w:b/>
          <w:color w:val="525866"/>
          <w:sz w:val="22"/>
        </w:rPr>
        <w:t>Domestic organic leasing growth (currently −3%) is the bigger swing factor</w:t>
      </w:r>
      <w:r>
        <w:rPr>
          <w:rFonts w:ascii="Calibri" w:hAnsi="Calibri"/>
          <w:color w:val="525866"/>
          <w:sz w:val="22"/>
        </w:rPr>
        <w:t>; any sequential improvement driven by Verizon MLA ramp would be the positive catalyst, while further deterioration would be the risk.</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(Midpoint)</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($M)</w:t>
            </w:r>
          </w:p>
        </w:tc>
        <w:tc>
          <w:tcPr>
            <w:tcW w:type="dxa" w:w="1234"/>
          </w:tcPr>
          <w:p>
            <w:r>
              <w:rPr>
                <w:rFonts w:ascii="Calibri" w:hAnsi="Calibri"/>
                <w:sz w:val="22"/>
              </w:rPr>
              <w:t>$703.4M</w:t>
            </w:r>
          </w:p>
        </w:tc>
        <w:tc>
          <w:tcPr>
            <w:tcW w:type="dxa" w:w="1234"/>
          </w:tcPr>
          <w:p>
            <w:r>
              <w:rPr>
                <w:rFonts w:ascii="Calibri" w:hAnsi="Calibri"/>
                <w:sz w:val="22"/>
              </w:rPr>
              <w:t>$699.0M</w:t>
            </w:r>
          </w:p>
        </w:tc>
        <w:tc>
          <w:tcPr>
            <w:tcW w:type="dxa" w:w="1234"/>
          </w:tcPr>
          <w:p>
            <w:r>
              <w:rPr>
                <w:rFonts w:ascii="Calibri" w:hAnsi="Calibri"/>
                <w:sz w:val="22"/>
              </w:rPr>
              <w:t>$706.3M</w:t>
            </w:r>
          </w:p>
        </w:tc>
        <w:tc>
          <w:tcPr>
            <w:tcW w:type="dxa" w:w="1234"/>
          </w:tcPr>
          <w:p>
            <w:r>
              <w:rPr>
                <w:rFonts w:ascii="Calibri" w:hAnsi="Calibri"/>
                <w:sz w:val="22"/>
              </w:rPr>
              <w:t>+1.0%</w:t>
            </w:r>
          </w:p>
        </w:tc>
        <w:tc>
          <w:tcPr>
            <w:tcW w:type="dxa" w:w="1234"/>
          </w:tcPr>
          <w:p>
            <w:r>
              <w:rPr>
                <w:rFonts w:ascii="Calibri" w:hAnsi="Calibri"/>
                <w:sz w:val="22"/>
              </w:rPr>
              <w:t>$2,861.5M (midpt)</w:t>
            </w:r>
          </w:p>
        </w:tc>
        <w:tc>
          <w:tcPr>
            <w:tcW w:type="dxa" w:w="1234"/>
          </w:tcPr>
          <w:p>
            <w:r>
              <w:rPr>
                <w:rFonts w:ascii="Calibri" w:hAnsi="Calibri"/>
                <w:sz w:val="22"/>
              </w:rPr>
              <w:t>~+0.1% above implied Q2 run-rate</w:t>
            </w:r>
          </w:p>
        </w:tc>
      </w:tr>
      <w:tr>
        <w:tc>
          <w:tcPr>
            <w:tcW w:type="dxa" w:w="1234"/>
          </w:tcPr>
          <w:p>
            <w:r>
              <w:rPr>
                <w:rFonts w:ascii="Calibri" w:hAnsi="Calibri"/>
                <w:sz w:val="22"/>
              </w:rPr>
              <w:t>Site Leasing Revenue ($M)</w:t>
            </w:r>
          </w:p>
        </w:tc>
        <w:tc>
          <w:tcPr>
            <w:tcW w:type="dxa" w:w="1234"/>
          </w:tcPr>
          <w:p>
            <w:r>
              <w:rPr>
                <w:rFonts w:ascii="Calibri" w:hAnsi="Calibri"/>
                <w:sz w:val="22"/>
              </w:rPr>
              <w:t>$656.1M</w:t>
            </w:r>
          </w:p>
        </w:tc>
        <w:tc>
          <w:tcPr>
            <w:tcW w:type="dxa" w:w="1234"/>
          </w:tcPr>
          <w:p>
            <w:r>
              <w:rPr>
                <w:rFonts w:ascii="Calibri" w:hAnsi="Calibri"/>
                <w:sz w:val="22"/>
              </w:rPr>
              <w:t>$631.8M</w:t>
            </w:r>
          </w:p>
        </w:tc>
        <w:tc>
          <w:tcPr>
            <w:tcW w:type="dxa" w:w="1234"/>
          </w:tcPr>
          <w:p>
            <w:r>
              <w:rPr>
                <w:rFonts w:ascii="Calibri" w:hAnsi="Calibri"/>
                <w:sz w:val="22"/>
              </w:rPr>
              <w:t>$655.8M</w:t>
            </w:r>
          </w:p>
        </w:tc>
        <w:tc>
          <w:tcPr>
            <w:tcW w:type="dxa" w:w="1234"/>
          </w:tcPr>
          <w:p>
            <w:r>
              <w:rPr>
                <w:rFonts w:ascii="Calibri" w:hAnsi="Calibri"/>
                <w:sz w:val="22"/>
              </w:rPr>
              <w:t>+3.8%</w:t>
            </w:r>
          </w:p>
        </w:tc>
        <w:tc>
          <w:tcPr>
            <w:tcW w:type="dxa" w:w="1234"/>
          </w:tcPr>
          <w:p>
            <w:r>
              <w:rPr>
                <w:rFonts w:ascii="Calibri" w:hAnsi="Calibri"/>
                <w:sz w:val="22"/>
              </w:rPr>
              <w:t>$2,661.5M (midpt)</w:t>
            </w:r>
          </w:p>
        </w:tc>
        <w:tc>
          <w:tcPr>
            <w:tcW w:type="dxa" w:w="1234"/>
          </w:tcPr>
          <w:p>
            <w:r>
              <w:rPr>
                <w:rFonts w:ascii="Calibri" w:hAnsi="Calibri"/>
                <w:sz w:val="22"/>
              </w:rPr>
              <w:t>In line with guidance</w:t>
            </w:r>
          </w:p>
        </w:tc>
      </w:tr>
      <w:tr>
        <w:tc>
          <w:tcPr>
            <w:tcW w:type="dxa" w:w="1234"/>
          </w:tcPr>
          <w:p>
            <w:r>
              <w:rPr>
                <w:rFonts w:ascii="Calibri" w:hAnsi="Calibri"/>
                <w:sz w:val="22"/>
              </w:rPr>
              <w:t>Domestic Site Leasing ($M)</w:t>
            </w:r>
          </w:p>
        </w:tc>
        <w:tc>
          <w:tcPr>
            <w:tcW w:type="dxa" w:w="1234"/>
          </w:tcPr>
          <w:p>
            <w:r>
              <w:rPr>
                <w:rFonts w:ascii="Calibri" w:hAnsi="Calibri"/>
                <w:sz w:val="22"/>
              </w:rPr>
              <w:t>$450.3M</w:t>
            </w:r>
          </w:p>
        </w:tc>
        <w:tc>
          <w:tcPr>
            <w:tcW w:type="dxa" w:w="1234"/>
          </w:tcPr>
          <w:p>
            <w:r>
              <w:rPr>
                <w:rFonts w:ascii="Calibri" w:hAnsi="Calibri"/>
                <w:sz w:val="22"/>
              </w:rPr>
              <w:t>$469.8M</w:t>
            </w:r>
          </w:p>
        </w:tc>
        <w:tc>
          <w:tcPr>
            <w:tcW w:type="dxa" w:w="1234"/>
          </w:tcPr>
          <w:p>
            <w:r>
              <w:rPr>
                <w:rFonts w:ascii="Calibri" w:hAnsi="Calibri"/>
                <w:sz w:val="22"/>
              </w:rPr>
              <w:t>$448.5M</w:t>
            </w:r>
          </w:p>
        </w:tc>
        <w:tc>
          <w:tcPr>
            <w:tcW w:type="dxa" w:w="1234"/>
          </w:tcPr>
          <w:p>
            <w:r>
              <w:rPr>
                <w:rFonts w:ascii="Calibri" w:hAnsi="Calibri"/>
                <w:sz w:val="22"/>
              </w:rPr>
              <w:t>−4.5%</w:t>
            </w:r>
          </w:p>
        </w:tc>
        <w:tc>
          <w:tcPr>
            <w:tcW w:type="dxa" w:w="1234"/>
          </w:tcPr>
          <w:p>
            <w:r>
              <w:rPr>
                <w:rFonts w:ascii="Calibri" w:hAnsi="Calibri"/>
                <w:sz w:val="22"/>
              </w:rPr>
              <w:t>$1,811.0M (midpt)</w:t>
            </w:r>
          </w:p>
        </w:tc>
        <w:tc>
          <w:tcPr>
            <w:tcW w:type="dxa" w:w="1234"/>
          </w:tcPr>
          <w:p>
            <w:r>
              <w:rPr>
                <w:rFonts w:ascii="Calibri" w:hAnsi="Calibri"/>
                <w:sz w:val="22"/>
              </w:rPr>
              <w:t>In line</w:t>
            </w:r>
          </w:p>
        </w:tc>
      </w:tr>
      <w:tr>
        <w:tc>
          <w:tcPr>
            <w:tcW w:type="dxa" w:w="1234"/>
          </w:tcPr>
          <w:p>
            <w:r>
              <w:rPr>
                <w:rFonts w:ascii="Calibri" w:hAnsi="Calibri"/>
                <w:sz w:val="22"/>
              </w:rPr>
              <w:t>International Site Leasing ($M)</w:t>
            </w:r>
          </w:p>
        </w:tc>
        <w:tc>
          <w:tcPr>
            <w:tcW w:type="dxa" w:w="1234"/>
          </w:tcPr>
          <w:p>
            <w:r>
              <w:rPr>
                <w:rFonts w:ascii="Calibri" w:hAnsi="Calibri"/>
                <w:sz w:val="22"/>
              </w:rPr>
              <w:t>$205.8M</w:t>
            </w:r>
          </w:p>
        </w:tc>
        <w:tc>
          <w:tcPr>
            <w:tcW w:type="dxa" w:w="1234"/>
          </w:tcPr>
          <w:p>
            <w:r>
              <w:rPr>
                <w:rFonts w:ascii="Calibri" w:hAnsi="Calibri"/>
                <w:sz w:val="22"/>
              </w:rPr>
              <w:t>$162.0M</w:t>
            </w:r>
          </w:p>
        </w:tc>
        <w:tc>
          <w:tcPr>
            <w:tcW w:type="dxa" w:w="1234"/>
          </w:tcPr>
          <w:p>
            <w:r>
              <w:rPr>
                <w:rFonts w:ascii="Calibri" w:hAnsi="Calibri"/>
                <w:sz w:val="22"/>
              </w:rPr>
              <w:t>$208.3M</w:t>
            </w:r>
          </w:p>
        </w:tc>
        <w:tc>
          <w:tcPr>
            <w:tcW w:type="dxa" w:w="1234"/>
          </w:tcPr>
          <w:p>
            <w:r>
              <w:rPr>
                <w:rFonts w:ascii="Calibri" w:hAnsi="Calibri"/>
                <w:sz w:val="22"/>
              </w:rPr>
              <w:t>+28.6%</w:t>
            </w:r>
          </w:p>
        </w:tc>
        <w:tc>
          <w:tcPr>
            <w:tcW w:type="dxa" w:w="1234"/>
          </w:tcPr>
          <w:p>
            <w:r>
              <w:rPr>
                <w:rFonts w:ascii="Calibri" w:hAnsi="Calibri"/>
                <w:sz w:val="22"/>
              </w:rPr>
              <w:t>$850.5M (midpt)</w:t>
            </w:r>
          </w:p>
        </w:tc>
        <w:tc>
          <w:tcPr>
            <w:tcW w:type="dxa" w:w="1234"/>
          </w:tcPr>
          <w:p>
            <w:r>
              <w:rPr>
                <w:rFonts w:ascii="Calibri" w:hAnsi="Calibri"/>
                <w:sz w:val="22"/>
              </w:rPr>
              <w:t>In line</w:t>
            </w:r>
          </w:p>
        </w:tc>
      </w:tr>
      <w:tr>
        <w:tc>
          <w:tcPr>
            <w:tcW w:type="dxa" w:w="1234"/>
          </w:tcPr>
          <w:p>
            <w:r>
              <w:rPr>
                <w:rFonts w:ascii="Calibri" w:hAnsi="Calibri"/>
                <w:sz w:val="22"/>
              </w:rPr>
              <w:t>Site Development Revenue ($M)</w:t>
            </w:r>
          </w:p>
        </w:tc>
        <w:tc>
          <w:tcPr>
            <w:tcW w:type="dxa" w:w="1234"/>
          </w:tcPr>
          <w:p>
            <w:r>
              <w:rPr>
                <w:rFonts w:ascii="Calibri" w:hAnsi="Calibri"/>
                <w:sz w:val="22"/>
              </w:rPr>
              <w:t>$47.3M</w:t>
            </w:r>
          </w:p>
        </w:tc>
        <w:tc>
          <w:tcPr>
            <w:tcW w:type="dxa" w:w="1234"/>
          </w:tcPr>
          <w:p>
            <w:r>
              <w:rPr>
                <w:rFonts w:ascii="Calibri" w:hAnsi="Calibri"/>
                <w:sz w:val="22"/>
              </w:rPr>
              <w:t>$67.2M</w:t>
            </w:r>
          </w:p>
        </w:tc>
        <w:tc>
          <w:tcPr>
            <w:tcW w:type="dxa" w:w="1234"/>
          </w:tcPr>
          <w:p>
            <w:r>
              <w:rPr>
                <w:rFonts w:ascii="Calibri" w:hAnsi="Calibri"/>
                <w:sz w:val="22"/>
              </w:rPr>
              <w:t>$50.4M</w:t>
            </w:r>
          </w:p>
        </w:tc>
        <w:tc>
          <w:tcPr>
            <w:tcW w:type="dxa" w:w="1234"/>
          </w:tcPr>
          <w:p>
            <w:r>
              <w:rPr>
                <w:rFonts w:ascii="Calibri" w:hAnsi="Calibri"/>
                <w:sz w:val="22"/>
              </w:rPr>
              <w:t>−25.0%</w:t>
            </w:r>
          </w:p>
        </w:tc>
        <w:tc>
          <w:tcPr>
            <w:tcW w:type="dxa" w:w="1234"/>
          </w:tcPr>
          <w:p>
            <w:r>
              <w:rPr>
                <w:rFonts w:ascii="Calibri" w:hAnsi="Calibri"/>
                <w:sz w:val="22"/>
              </w:rPr>
              <w:t>$200.0M (midpt)</w:t>
            </w:r>
          </w:p>
        </w:tc>
        <w:tc>
          <w:tcPr>
            <w:tcW w:type="dxa" w:w="1234"/>
          </w:tcPr>
          <w:p>
            <w:r>
              <w:rPr>
                <w:rFonts w:ascii="Calibri" w:hAnsi="Calibri"/>
                <w:sz w:val="22"/>
              </w:rPr>
              <w:t>In line</w:t>
            </w:r>
          </w:p>
        </w:tc>
      </w:tr>
      <w:tr>
        <w:tc>
          <w:tcPr>
            <w:tcW w:type="dxa" w:w="1234"/>
          </w:tcPr>
          <w:p>
            <w:r>
              <w:rPr>
                <w:rFonts w:ascii="Calibri" w:hAnsi="Calibri"/>
                <w:sz w:val="22"/>
              </w:rPr>
              <w:t>Adjusted EBITDA ($M)</w:t>
            </w:r>
          </w:p>
        </w:tc>
        <w:tc>
          <w:tcPr>
            <w:tcW w:type="dxa" w:w="1234"/>
          </w:tcPr>
          <w:p>
            <w:r>
              <w:rPr>
                <w:rFonts w:ascii="Calibri" w:hAnsi="Calibri"/>
                <w:sz w:val="22"/>
              </w:rPr>
              <w:t>$475.4M</w:t>
            </w:r>
          </w:p>
        </w:tc>
        <w:tc>
          <w:tcPr>
            <w:tcW w:type="dxa" w:w="1234"/>
          </w:tcPr>
          <w:p>
            <w:r>
              <w:rPr>
                <w:rFonts w:ascii="Calibri" w:hAnsi="Calibri"/>
                <w:sz w:val="22"/>
              </w:rPr>
              <w:t>$475.5M</w:t>
            </w:r>
          </w:p>
        </w:tc>
        <w:tc>
          <w:tcPr>
            <w:tcW w:type="dxa" w:w="1234"/>
          </w:tcPr>
          <w:p>
            <w:r>
              <w:rPr>
                <w:rFonts w:ascii="Calibri" w:hAnsi="Calibri"/>
                <w:sz w:val="22"/>
              </w:rPr>
              <w:t>$477.1M</w:t>
            </w:r>
          </w:p>
        </w:tc>
        <w:tc>
          <w:tcPr>
            <w:tcW w:type="dxa" w:w="1234"/>
          </w:tcPr>
          <w:p>
            <w:r>
              <w:rPr>
                <w:rFonts w:ascii="Calibri" w:hAnsi="Calibri"/>
                <w:sz w:val="22"/>
              </w:rPr>
              <w:t>+0.3%</w:t>
            </w:r>
          </w:p>
        </w:tc>
        <w:tc>
          <w:tcPr>
            <w:tcW w:type="dxa" w:w="1234"/>
          </w:tcPr>
          <w:p>
            <w:r>
              <w:rPr>
                <w:rFonts w:ascii="Calibri" w:hAnsi="Calibri"/>
                <w:sz w:val="22"/>
              </w:rPr>
              <w:t>$1,931.0M (midpt)</w:t>
            </w:r>
          </w:p>
        </w:tc>
        <w:tc>
          <w:tcPr>
            <w:tcW w:type="dxa" w:w="1234"/>
          </w:tcPr>
          <w:p>
            <w:r>
              <w:rPr>
                <w:rFonts w:ascii="Calibri" w:hAnsi="Calibri"/>
                <w:sz w:val="22"/>
              </w:rPr>
              <w:t>In line</w:t>
            </w:r>
          </w:p>
        </w:tc>
      </w:tr>
      <w:tr>
        <w:tc>
          <w:tcPr>
            <w:tcW w:type="dxa" w:w="1234"/>
          </w:tcPr>
          <w:p>
            <w:r>
              <w:rPr>
                <w:rFonts w:ascii="Calibri" w:hAnsi="Calibri"/>
                <w:sz w:val="22"/>
              </w:rPr>
              <w:t>Tower Cash Flow ($M)</w:t>
            </w:r>
          </w:p>
        </w:tc>
        <w:tc>
          <w:tcPr>
            <w:tcW w:type="dxa" w:w="1234"/>
          </w:tcPr>
          <w:p>
            <w:r>
              <w:rPr>
                <w:rFonts w:ascii="Calibri" w:hAnsi="Calibri"/>
                <w:sz w:val="22"/>
              </w:rPr>
              <w:t>$519.0M</w:t>
            </w:r>
          </w:p>
        </w:tc>
        <w:tc>
          <w:tcPr>
            <w:tcW w:type="dxa" w:w="1234"/>
          </w:tcPr>
          <w:p>
            <w:r>
              <w:rPr>
                <w:rFonts w:ascii="Calibri" w:hAnsi="Calibri"/>
                <w:sz w:val="22"/>
              </w:rPr>
              <w:t>$511.2M</w:t>
            </w:r>
          </w:p>
        </w:tc>
        <w:tc>
          <w:tcPr>
            <w:tcW w:type="dxa" w:w="1234"/>
          </w:tcPr>
          <w:p>
            <w:r>
              <w:rPr>
                <w:rFonts w:ascii="Calibri" w:hAnsi="Calibri"/>
                <w:sz w:val="22"/>
              </w:rPr>
              <w:t>$519.9M</w:t>
            </w:r>
          </w:p>
        </w:tc>
        <w:tc>
          <w:tcPr>
            <w:tcW w:type="dxa" w:w="1234"/>
          </w:tcPr>
          <w:p>
            <w:r>
              <w:rPr>
                <w:rFonts w:ascii="Calibri" w:hAnsi="Calibri"/>
                <w:sz w:val="22"/>
              </w:rPr>
              <w:t>+1.7%</w:t>
            </w:r>
          </w:p>
        </w:tc>
        <w:tc>
          <w:tcPr>
            <w:tcW w:type="dxa" w:w="1234"/>
          </w:tcPr>
          <w:p>
            <w:r>
              <w:rPr>
                <w:rFonts w:ascii="Calibri" w:hAnsi="Calibri"/>
                <w:sz w:val="22"/>
              </w:rPr>
              <w:t>$2,102.0M (midpt)</w:t>
            </w:r>
          </w:p>
        </w:tc>
        <w:tc>
          <w:tcPr>
            <w:tcW w:type="dxa" w:w="1234"/>
          </w:tcPr>
          <w:p>
            <w:r>
              <w:rPr>
                <w:rFonts w:ascii="Calibri" w:hAnsi="Calibri"/>
                <w:sz w:val="22"/>
              </w:rPr>
              <w:t>In line</w:t>
            </w:r>
          </w:p>
        </w:tc>
      </w:tr>
      <w:tr>
        <w:tc>
          <w:tcPr>
            <w:tcW w:type="dxa" w:w="1234"/>
          </w:tcPr>
          <w:p>
            <w:r>
              <w:rPr>
                <w:rFonts w:ascii="Calibri" w:hAnsi="Calibri"/>
                <w:sz w:val="22"/>
              </w:rPr>
              <w:t>AFFO ($M)</w:t>
            </w:r>
          </w:p>
        </w:tc>
        <w:tc>
          <w:tcPr>
            <w:tcW w:type="dxa" w:w="1234"/>
          </w:tcPr>
          <w:p>
            <w:r>
              <w:rPr>
                <w:rFonts w:ascii="Calibri" w:hAnsi="Calibri"/>
                <w:sz w:val="22"/>
              </w:rPr>
              <w:t>$319.6M</w:t>
            </w:r>
          </w:p>
        </w:tc>
        <w:tc>
          <w:tcPr>
            <w:tcW w:type="dxa" w:w="1234"/>
          </w:tcPr>
          <w:p>
            <w:r>
              <w:rPr>
                <w:rFonts w:ascii="Calibri" w:hAnsi="Calibri"/>
                <w:sz w:val="22"/>
              </w:rPr>
              <w:t>$340.4M</w:t>
            </w:r>
          </w:p>
        </w:tc>
        <w:tc>
          <w:tcPr>
            <w:tcW w:type="dxa" w:w="1234"/>
          </w:tcPr>
          <w:p>
            <w:r>
              <w:rPr>
                <w:rFonts w:ascii="Calibri" w:hAnsi="Calibri"/>
                <w:sz w:val="22"/>
              </w:rPr>
              <w:t>$317.7M</w:t>
            </w:r>
          </w:p>
        </w:tc>
        <w:tc>
          <w:tcPr>
            <w:tcW w:type="dxa" w:w="1234"/>
          </w:tcPr>
          <w:p>
            <w:r>
              <w:rPr>
                <w:rFonts w:ascii="Calibri" w:hAnsi="Calibri"/>
                <w:sz w:val="22"/>
              </w:rPr>
              <w:t>−6.7%</w:t>
            </w:r>
          </w:p>
        </w:tc>
        <w:tc>
          <w:tcPr>
            <w:tcW w:type="dxa" w:w="1234"/>
          </w:tcPr>
          <w:p>
            <w:r>
              <w:rPr>
                <w:rFonts w:ascii="Calibri" w:hAnsi="Calibri"/>
                <w:sz w:val="22"/>
              </w:rPr>
              <w:t>$1,293.0M (midpt)</w:t>
            </w:r>
          </w:p>
        </w:tc>
        <w:tc>
          <w:tcPr>
            <w:tcW w:type="dxa" w:w="1234"/>
          </w:tcPr>
          <w:p>
            <w:r>
              <w:rPr>
                <w:rFonts w:ascii="Calibri" w:hAnsi="Calibri"/>
                <w:sz w:val="22"/>
              </w:rPr>
              <w:t>In line</w:t>
            </w:r>
          </w:p>
        </w:tc>
      </w:tr>
      <w:tr>
        <w:tc>
          <w:tcPr>
            <w:tcW w:type="dxa" w:w="1234"/>
          </w:tcPr>
          <w:p>
            <w:r>
              <w:rPr>
                <w:rFonts w:ascii="Calibri" w:hAnsi="Calibri"/>
                <w:b/>
                <w:sz w:val="22"/>
              </w:rPr>
              <w:t>AFFO per Share ($)</w:t>
            </w:r>
          </w:p>
        </w:tc>
        <w:tc>
          <w:tcPr>
            <w:tcW w:type="dxa" w:w="1234"/>
          </w:tcPr>
          <w:p>
            <w:r>
              <w:rPr>
                <w:rFonts w:ascii="Calibri" w:hAnsi="Calibri"/>
                <w:sz w:val="22"/>
              </w:rPr>
              <w:t>$3.01</w:t>
            </w:r>
          </w:p>
        </w:tc>
        <w:tc>
          <w:tcPr>
            <w:tcW w:type="dxa" w:w="1234"/>
          </w:tcPr>
          <w:p>
            <w:r>
              <w:rPr>
                <w:rFonts w:ascii="Calibri" w:hAnsi="Calibri"/>
                <w:sz w:val="22"/>
              </w:rPr>
              <w:t>$3.16</w:t>
            </w:r>
          </w:p>
        </w:tc>
        <w:tc>
          <w:tcPr>
            <w:tcW w:type="dxa" w:w="1234"/>
          </w:tcPr>
          <w:p>
            <w:r>
              <w:rPr>
                <w:rFonts w:ascii="Calibri" w:hAnsi="Calibri"/>
                <w:b/>
                <w:sz w:val="22"/>
              </w:rPr>
              <w:t>$2.99</w:t>
            </w:r>
          </w:p>
        </w:tc>
        <w:tc>
          <w:tcPr>
            <w:tcW w:type="dxa" w:w="1234"/>
          </w:tcPr>
          <w:p>
            <w:r>
              <w:rPr>
                <w:rFonts w:ascii="Calibri" w:hAnsi="Calibri"/>
                <w:b/>
                <w:color w:val="E5484D"/>
                <w:sz w:val="22"/>
              </w:rPr>
              <w:t>−5.4%</w:t>
            </w:r>
          </w:p>
        </w:tc>
        <w:tc>
          <w:tcPr>
            <w:tcW w:type="dxa" w:w="1234"/>
          </w:tcPr>
          <w:p>
            <w:r>
              <w:rPr>
                <w:rFonts w:ascii="Calibri" w:hAnsi="Calibri"/>
                <w:sz w:val="22"/>
              </w:rPr>
              <w:t>$12.155 (midpt)</w:t>
            </w:r>
          </w:p>
        </w:tc>
        <w:tc>
          <w:tcPr>
            <w:tcW w:type="dxa" w:w="1234"/>
          </w:tcPr>
          <w:p>
            <w:r>
              <w:rPr>
                <w:rFonts w:ascii="Calibri" w:hAnsi="Calibri"/>
                <w:sz w:val="22"/>
              </w:rPr>
              <w:t>~−1.6% below midpt implied Q2</w:t>
            </w:r>
          </w:p>
        </w:tc>
      </w:tr>
      <w:tr>
        <w:tc>
          <w:tcPr>
            <w:tcW w:type="dxa" w:w="1234"/>
          </w:tcPr>
          <w:p>
            <w:r>
              <w:rPr>
                <w:rFonts w:ascii="Calibri" w:hAnsi="Calibri"/>
                <w:sz w:val="22"/>
              </w:rPr>
              <w:t>Dom. Organic Leasing Growth (%)</w:t>
            </w:r>
          </w:p>
        </w:tc>
        <w:tc>
          <w:tcPr>
            <w:tcW w:type="dxa" w:w="1234"/>
          </w:tcPr>
          <w:p>
            <w:r>
              <w:rPr>
                <w:rFonts w:ascii="Calibri" w:hAnsi="Calibri"/>
                <w:sz w:val="22"/>
              </w:rPr>
              <w:t>−3.0%</w:t>
            </w:r>
          </w:p>
        </w:tc>
        <w:tc>
          <w:tcPr>
            <w:tcW w:type="dxa" w:w="1234"/>
          </w:tcPr>
          <w:p>
            <w:r>
              <w:rPr>
                <w:rFonts w:ascii="Calibri" w:hAnsi="Calibri"/>
                <w:sz w:val="22"/>
              </w:rPr>
              <w:t>+0.9%</w:t>
            </w:r>
          </w:p>
        </w:tc>
        <w:tc>
          <w:tcPr>
            <w:tcW w:type="dxa" w:w="1234"/>
          </w:tcPr>
          <w:p>
            <w:r>
              <w:rPr>
                <w:rFonts w:ascii="Calibri" w:hAnsi="Calibri"/>
                <w:sz w:val="22"/>
              </w:rPr>
              <w:t>−2.98%</w:t>
            </w:r>
          </w:p>
        </w:tc>
        <w:tc>
          <w:tcPr>
            <w:tcW w:type="dxa" w:w="1234"/>
          </w:tcPr>
          <w:p>
            <w:r>
              <w:rPr>
                <w:rFonts w:ascii="Calibri" w:hAnsi="Calibri"/>
                <w:sz w:val="22"/>
              </w:rPr>
              <w:t>N/A</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Intl. Organic Leasing Growth (%)</w:t>
            </w:r>
          </w:p>
        </w:tc>
        <w:tc>
          <w:tcPr>
            <w:tcW w:type="dxa" w:w="1234"/>
          </w:tcPr>
          <w:p>
            <w:r>
              <w:rPr>
                <w:rFonts w:ascii="Calibri" w:hAnsi="Calibri"/>
                <w:sz w:val="22"/>
              </w:rPr>
              <w:t>+1.7%</w:t>
            </w:r>
          </w:p>
        </w:tc>
        <w:tc>
          <w:tcPr>
            <w:tcW w:type="dxa" w:w="1234"/>
          </w:tcPr>
          <w:p>
            <w:r>
              <w:rPr>
                <w:rFonts w:ascii="Calibri" w:hAnsi="Calibri"/>
                <w:sz w:val="22"/>
              </w:rPr>
              <w:t>+0.8%</w:t>
            </w:r>
          </w:p>
        </w:tc>
        <w:tc>
          <w:tcPr>
            <w:tcW w:type="dxa" w:w="1234"/>
          </w:tcPr>
          <w:p>
            <w:r>
              <w:rPr>
                <w:rFonts w:ascii="Calibri" w:hAnsi="Calibri"/>
                <w:sz w:val="22"/>
              </w:rPr>
              <w:t>+0.67%</w:t>
            </w:r>
          </w:p>
        </w:tc>
        <w:tc>
          <w:tcPr>
            <w:tcW w:type="dxa" w:w="1234"/>
          </w:tcPr>
          <w:p>
            <w:r>
              <w:rPr>
                <w:rFonts w:ascii="Calibri" w:hAnsi="Calibri"/>
                <w:sz w:val="22"/>
              </w:rPr>
              <w:t>N/A</w:t>
            </w:r>
          </w:p>
        </w:tc>
        <w:tc>
          <w:tcPr>
            <w:tcW w:type="dxa" w:w="1234"/>
          </w:tcPr>
          <w:p>
            <w:r>
              <w:rPr>
                <w:rFonts w:ascii="Calibri" w:hAnsi="Calibri"/>
                <w:sz w:val="22"/>
              </w:rPr>
              <w:t>N/A (not guided)</w:t>
            </w:r>
          </w:p>
        </w:tc>
        <w:tc>
          <w:tcPr>
            <w:tcW w:type="dxa" w:w="1234"/>
          </w:tcPr>
          <w:p>
            <w:r>
              <w:rPr>
                <w:rFonts w:ascii="Calibri" w:hAnsi="Calibri"/>
                <w:sz w:val="22"/>
              </w:rPr>
              <w:t>N/A</w:t>
            </w:r>
          </w:p>
        </w:tc>
      </w:tr>
    </w:tbl>
    <w:p>
      <w:r>
        <w:rPr>
          <w:rFonts w:ascii="Calibri" w:hAnsi="Calibri"/>
          <w:i/>
          <w:color w:val="525866"/>
          <w:sz w:val="22"/>
        </w:rPr>
        <w:t>Sources: Visible Alpha Consensus and Actuals Data; SBA Communications Q1 2026 Earnings Release (April 29, 2026). FY 2026 guidance midpoints derived from Q1 2026 updated outlook ($2,839–$2,884M total revenue; $1,921–$1,941M Adj. EBITDA; $11.93–$12.38 AFFO/share). Q2 2026 consensus as of August 2, 2026.</w:t>
      </w:r>
    </w:p>
    <w:p>
      <w:pPr>
        <w:pStyle w:val="Heading3"/>
      </w:pPr>
      <w:r>
        <w:rPr>
          <w:rFonts w:ascii="Calibri" w:hAnsi="Calibri"/>
          <w:b/>
          <w:color w:val="3B4259"/>
          <w:sz w:val="24"/>
        </w:rPr>
        <w:t>Table 2 — Beat/Miss History (Last 8 Quarters) — AFFO per Share &amp; Total Revenue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Quarter</w:t>
            </w:r>
          </w:p>
        </w:tc>
        <w:tc>
          <w:tcPr>
            <w:tcW w:type="dxa" w:w="1234"/>
            <w:shd w:val="clear" w:color="auto" w:fill="3B4259"/>
          </w:tcPr>
          <w:p>
            <w:r>
              <w:rPr>
                <w:rFonts w:ascii="Calibri" w:hAnsi="Calibri"/>
                <w:b/>
                <w:color w:val="FFFFFF"/>
                <w:sz w:val="22"/>
              </w:rPr>
              <w:t>AFFO/Share Reported</w:t>
            </w:r>
          </w:p>
        </w:tc>
        <w:tc>
          <w:tcPr>
            <w:tcW w:type="dxa" w:w="1234"/>
            <w:shd w:val="clear" w:color="auto" w:fill="3B4259"/>
          </w:tcPr>
          <w:p>
            <w:r>
              <w:rPr>
                <w:rFonts w:ascii="Calibri" w:hAnsi="Calibri"/>
                <w:b/>
                <w:color w:val="FFFFFF"/>
                <w:sz w:val="22"/>
              </w:rPr>
              <w:t>AFFO/Share Consensus</w:t>
            </w:r>
          </w:p>
        </w:tc>
        <w:tc>
          <w:tcPr>
            <w:tcW w:type="dxa" w:w="1234"/>
            <w:shd w:val="clear" w:color="auto" w:fill="3B4259"/>
          </w:tcPr>
          <w:p>
            <w:r>
              <w:rPr>
                <w:rFonts w:ascii="Calibri" w:hAnsi="Calibri"/>
                <w:b/>
                <w:color w:val="FFFFFF"/>
                <w:sz w:val="22"/>
              </w:rPr>
              <w:t>AFFO/Share Surprise</w:t>
            </w:r>
          </w:p>
        </w:tc>
        <w:tc>
          <w:tcPr>
            <w:tcW w:type="dxa" w:w="1234"/>
            <w:shd w:val="clear" w:color="auto" w:fill="3B4259"/>
          </w:tcPr>
          <w:p>
            <w:r>
              <w:rPr>
                <w:rFonts w:ascii="Calibri" w:hAnsi="Calibri"/>
                <w:b/>
                <w:color w:val="FFFFFF"/>
                <w:sz w:val="22"/>
              </w:rPr>
              <w:t>Total Rev. Reported ($M)</w:t>
            </w:r>
          </w:p>
        </w:tc>
        <w:tc>
          <w:tcPr>
            <w:tcW w:type="dxa" w:w="1234"/>
            <w:shd w:val="clear" w:color="auto" w:fill="3B4259"/>
          </w:tcPr>
          <w:p>
            <w:r>
              <w:rPr>
                <w:rFonts w:ascii="Calibri" w:hAnsi="Calibri"/>
                <w:b/>
                <w:color w:val="FFFFFF"/>
                <w:sz w:val="22"/>
              </w:rPr>
              <w:t>Total Rev. Consensus ($M)</w:t>
            </w:r>
          </w:p>
        </w:tc>
        <w:tc>
          <w:tcPr>
            <w:tcW w:type="dxa" w:w="1234"/>
            <w:shd w:val="clear" w:color="auto" w:fill="3B4259"/>
          </w:tcPr>
          <w:p>
            <w:r>
              <w:rPr>
                <w:rFonts w:ascii="Calibri" w:hAnsi="Calibri"/>
                <w:b/>
                <w:color w:val="FFFFFF"/>
                <w:sz w:val="22"/>
              </w:rPr>
              <w:t>Rev. Surprise</w:t>
            </w:r>
          </w:p>
        </w:tc>
      </w:tr>
      <w:tr>
        <w:tc>
          <w:tcPr>
            <w:tcW w:type="dxa" w:w="1234"/>
          </w:tcPr>
          <w:p>
            <w:r>
              <w:rPr>
                <w:rFonts w:ascii="Calibri" w:hAnsi="Calibri"/>
                <w:sz w:val="22"/>
              </w:rPr>
              <w:t>Q2 2024</w:t>
            </w:r>
          </w:p>
        </w:tc>
        <w:tc>
          <w:tcPr>
            <w:tcW w:type="dxa" w:w="1234"/>
          </w:tcPr>
          <w:p>
            <w:r>
              <w:rPr>
                <w:rFonts w:ascii="Calibri" w:hAnsi="Calibri"/>
                <w:sz w:val="22"/>
              </w:rPr>
              <w:t>$3.28</w:t>
            </w:r>
          </w:p>
        </w:tc>
        <w:tc>
          <w:tcPr>
            <w:tcW w:type="dxa" w:w="1234"/>
          </w:tcPr>
          <w:p>
            <w:r>
              <w:rPr>
                <w:rFonts w:ascii="Calibri" w:hAnsi="Calibri"/>
                <w:sz w:val="22"/>
              </w:rPr>
              <w:t>$3.28</w:t>
            </w:r>
          </w:p>
        </w:tc>
        <w:tc>
          <w:tcPr>
            <w:tcW w:type="dxa" w:w="1234"/>
          </w:tcPr>
          <w:p>
            <w:r>
              <w:rPr>
                <w:rFonts w:ascii="Calibri" w:hAnsi="Calibri"/>
                <w:sz w:val="22"/>
              </w:rPr>
              <w:t>0.0%</w:t>
            </w:r>
          </w:p>
        </w:tc>
        <w:tc>
          <w:tcPr>
            <w:tcW w:type="dxa" w:w="1234"/>
          </w:tcPr>
          <w:p>
            <w:r>
              <w:rPr>
                <w:rFonts w:ascii="Calibri" w:hAnsi="Calibri"/>
                <w:sz w:val="22"/>
              </w:rPr>
              <w:t>$660.5M</w:t>
            </w:r>
          </w:p>
        </w:tc>
        <w:tc>
          <w:tcPr>
            <w:tcW w:type="dxa" w:w="1234"/>
          </w:tcPr>
          <w:p>
            <w:r>
              <w:rPr>
                <w:rFonts w:ascii="Calibri" w:hAnsi="Calibri"/>
                <w:sz w:val="22"/>
              </w:rPr>
              <w:t>$664.8M</w:t>
            </w:r>
          </w:p>
        </w:tc>
        <w:tc>
          <w:tcPr>
            <w:tcW w:type="dxa" w:w="1234"/>
          </w:tcPr>
          <w:p>
            <w:r>
              <w:rPr>
                <w:rFonts w:ascii="Calibri" w:hAnsi="Calibri"/>
                <w:b/>
                <w:color w:val="E5484D"/>
                <w:sz w:val="22"/>
              </w:rPr>
              <w:t>−0.6%</w:t>
            </w:r>
          </w:p>
        </w:tc>
      </w:tr>
      <w:tr>
        <w:tc>
          <w:tcPr>
            <w:tcW w:type="dxa" w:w="1234"/>
          </w:tcPr>
          <w:p>
            <w:r>
              <w:rPr>
                <w:rFonts w:ascii="Calibri" w:hAnsi="Calibri"/>
                <w:sz w:val="22"/>
              </w:rPr>
              <w:t>Q3 2024</w:t>
            </w:r>
          </w:p>
        </w:tc>
        <w:tc>
          <w:tcPr>
            <w:tcW w:type="dxa" w:w="1234"/>
          </w:tcPr>
          <w:p>
            <w:r>
              <w:rPr>
                <w:rFonts w:ascii="Calibri" w:hAnsi="Calibri"/>
                <w:sz w:val="22"/>
              </w:rPr>
              <w:t>$3.31</w:t>
            </w:r>
          </w:p>
        </w:tc>
        <w:tc>
          <w:tcPr>
            <w:tcW w:type="dxa" w:w="1234"/>
          </w:tcPr>
          <w:p>
            <w:r>
              <w:rPr>
                <w:rFonts w:ascii="Calibri" w:hAnsi="Calibri"/>
                <w:sz w:val="22"/>
              </w:rPr>
              <w:t>$3.32</w:t>
            </w:r>
          </w:p>
        </w:tc>
        <w:tc>
          <w:tcPr>
            <w:tcW w:type="dxa" w:w="1234"/>
          </w:tcPr>
          <w:p>
            <w:r>
              <w:rPr>
                <w:rFonts w:ascii="Calibri" w:hAnsi="Calibri"/>
                <w:sz w:val="22"/>
              </w:rPr>
              <w:t>−0.3%</w:t>
            </w:r>
          </w:p>
        </w:tc>
        <w:tc>
          <w:tcPr>
            <w:tcW w:type="dxa" w:w="1234"/>
          </w:tcPr>
          <w:p>
            <w:r>
              <w:rPr>
                <w:rFonts w:ascii="Calibri" w:hAnsi="Calibri"/>
                <w:sz w:val="22"/>
              </w:rPr>
              <w:t>$667.6M</w:t>
            </w:r>
          </w:p>
        </w:tc>
        <w:tc>
          <w:tcPr>
            <w:tcW w:type="dxa" w:w="1234"/>
          </w:tcPr>
          <w:p>
            <w:r>
              <w:rPr>
                <w:rFonts w:ascii="Calibri" w:hAnsi="Calibri"/>
                <w:sz w:val="22"/>
              </w:rPr>
              <w:t>$669.2M</w:t>
            </w:r>
          </w:p>
        </w:tc>
        <w:tc>
          <w:tcPr>
            <w:tcW w:type="dxa" w:w="1234"/>
          </w:tcPr>
          <w:p>
            <w:r>
              <w:rPr>
                <w:rFonts w:ascii="Calibri" w:hAnsi="Calibri"/>
                <w:b/>
                <w:color w:val="E5484D"/>
                <w:sz w:val="22"/>
              </w:rPr>
              <w:t>−0.2%</w:t>
            </w:r>
          </w:p>
        </w:tc>
      </w:tr>
      <w:tr>
        <w:tc>
          <w:tcPr>
            <w:tcW w:type="dxa" w:w="1234"/>
          </w:tcPr>
          <w:p>
            <w:r>
              <w:rPr>
                <w:rFonts w:ascii="Calibri" w:hAnsi="Calibri"/>
                <w:sz w:val="22"/>
              </w:rPr>
              <w:t>Q4 2024</w:t>
            </w:r>
          </w:p>
        </w:tc>
        <w:tc>
          <w:tcPr>
            <w:tcW w:type="dxa" w:w="1234"/>
          </w:tcPr>
          <w:p>
            <w:r>
              <w:rPr>
                <w:rFonts w:ascii="Calibri" w:hAnsi="Calibri"/>
                <w:sz w:val="22"/>
              </w:rPr>
              <w:t>$3.46</w:t>
            </w:r>
          </w:p>
        </w:tc>
        <w:tc>
          <w:tcPr>
            <w:tcW w:type="dxa" w:w="1234"/>
          </w:tcPr>
          <w:p>
            <w:r>
              <w:rPr>
                <w:rFonts w:ascii="Calibri" w:hAnsi="Calibri"/>
                <w:sz w:val="22"/>
              </w:rPr>
              <w:t>$3.39</w:t>
            </w:r>
          </w:p>
        </w:tc>
        <w:tc>
          <w:tcPr>
            <w:tcW w:type="dxa" w:w="1234"/>
          </w:tcPr>
          <w:p>
            <w:r>
              <w:rPr>
                <w:rFonts w:ascii="Calibri" w:hAnsi="Calibri"/>
                <w:b/>
                <w:color w:val="30A46C"/>
                <w:sz w:val="22"/>
              </w:rPr>
              <w:t>+2.1%</w:t>
            </w:r>
          </w:p>
        </w:tc>
        <w:tc>
          <w:tcPr>
            <w:tcW w:type="dxa" w:w="1234"/>
          </w:tcPr>
          <w:p>
            <w:r>
              <w:rPr>
                <w:rFonts w:ascii="Calibri" w:hAnsi="Calibri"/>
                <w:sz w:val="22"/>
              </w:rPr>
              <w:t>$693.7M</w:t>
            </w:r>
          </w:p>
        </w:tc>
        <w:tc>
          <w:tcPr>
            <w:tcW w:type="dxa" w:w="1234"/>
          </w:tcPr>
          <w:p>
            <w:r>
              <w:rPr>
                <w:rFonts w:ascii="Calibri" w:hAnsi="Calibri"/>
                <w:sz w:val="22"/>
              </w:rPr>
              <w:t>$681.9M</w:t>
            </w:r>
          </w:p>
        </w:tc>
        <w:tc>
          <w:tcPr>
            <w:tcW w:type="dxa" w:w="1234"/>
          </w:tcPr>
          <w:p>
            <w:r>
              <w:rPr>
                <w:rFonts w:ascii="Calibri" w:hAnsi="Calibri"/>
                <w:b/>
                <w:color w:val="30A46C"/>
                <w:sz w:val="22"/>
              </w:rPr>
              <w:t>+1.7%</w:t>
            </w:r>
          </w:p>
        </w:tc>
      </w:tr>
      <w:tr>
        <w:tc>
          <w:tcPr>
            <w:tcW w:type="dxa" w:w="1234"/>
          </w:tcPr>
          <w:p>
            <w:r>
              <w:rPr>
                <w:rFonts w:ascii="Calibri" w:hAnsi="Calibri"/>
                <w:sz w:val="22"/>
              </w:rPr>
              <w:t>Q1 2025</w:t>
            </w:r>
          </w:p>
        </w:tc>
        <w:tc>
          <w:tcPr>
            <w:tcW w:type="dxa" w:w="1234"/>
          </w:tcPr>
          <w:p>
            <w:r>
              <w:rPr>
                <w:rFonts w:ascii="Calibri" w:hAnsi="Calibri"/>
                <w:sz w:val="22"/>
              </w:rPr>
              <w:t>$3.16</w:t>
            </w:r>
          </w:p>
        </w:tc>
        <w:tc>
          <w:tcPr>
            <w:tcW w:type="dxa" w:w="1234"/>
          </w:tcPr>
          <w:p>
            <w:r>
              <w:rPr>
                <w:rFonts w:ascii="Calibri" w:hAnsi="Calibri"/>
                <w:sz w:val="22"/>
              </w:rPr>
              <w:t>$3.15</w:t>
            </w:r>
          </w:p>
        </w:tc>
        <w:tc>
          <w:tcPr>
            <w:tcW w:type="dxa" w:w="1234"/>
          </w:tcPr>
          <w:p>
            <w:r>
              <w:rPr>
                <w:rFonts w:ascii="Calibri" w:hAnsi="Calibri"/>
                <w:b/>
                <w:color w:val="30A46C"/>
                <w:sz w:val="22"/>
              </w:rPr>
              <w:t>+0.3%</w:t>
            </w:r>
          </w:p>
        </w:tc>
        <w:tc>
          <w:tcPr>
            <w:tcW w:type="dxa" w:w="1234"/>
          </w:tcPr>
          <w:p>
            <w:r>
              <w:rPr>
                <w:rFonts w:ascii="Calibri" w:hAnsi="Calibri"/>
                <w:sz w:val="22"/>
              </w:rPr>
              <w:t>$664.2M</w:t>
            </w:r>
          </w:p>
        </w:tc>
        <w:tc>
          <w:tcPr>
            <w:tcW w:type="dxa" w:w="1234"/>
          </w:tcPr>
          <w:p>
            <w:r>
              <w:rPr>
                <w:rFonts w:ascii="Calibri" w:hAnsi="Calibri"/>
                <w:sz w:val="22"/>
              </w:rPr>
              <w:t>$661.8M</w:t>
            </w:r>
          </w:p>
        </w:tc>
        <w:tc>
          <w:tcPr>
            <w:tcW w:type="dxa" w:w="1234"/>
          </w:tcPr>
          <w:p>
            <w:r>
              <w:rPr>
                <w:rFonts w:ascii="Calibri" w:hAnsi="Calibri"/>
                <w:b/>
                <w:color w:val="30A46C"/>
                <w:sz w:val="22"/>
              </w:rPr>
              <w:t>+0.4%</w:t>
            </w:r>
          </w:p>
        </w:tc>
      </w:tr>
      <w:tr>
        <w:tc>
          <w:tcPr>
            <w:tcW w:type="dxa" w:w="1234"/>
          </w:tcPr>
          <w:p>
            <w:r>
              <w:rPr>
                <w:rFonts w:ascii="Calibri" w:hAnsi="Calibri"/>
                <w:sz w:val="22"/>
              </w:rPr>
              <w:t>Q2 2025</w:t>
            </w:r>
          </w:p>
        </w:tc>
        <w:tc>
          <w:tcPr>
            <w:tcW w:type="dxa" w:w="1234"/>
          </w:tcPr>
          <w:p>
            <w:r>
              <w:rPr>
                <w:rFonts w:ascii="Calibri" w:hAnsi="Calibri"/>
                <w:sz w:val="22"/>
              </w:rPr>
              <w:t>$3.16</w:t>
            </w:r>
          </w:p>
        </w:tc>
        <w:tc>
          <w:tcPr>
            <w:tcW w:type="dxa" w:w="1234"/>
          </w:tcPr>
          <w:p>
            <w:r>
              <w:rPr>
                <w:rFonts w:ascii="Calibri" w:hAnsi="Calibri"/>
                <w:sz w:val="22"/>
              </w:rPr>
              <w:t>$3.11</w:t>
            </w:r>
          </w:p>
        </w:tc>
        <w:tc>
          <w:tcPr>
            <w:tcW w:type="dxa" w:w="1234"/>
          </w:tcPr>
          <w:p>
            <w:r>
              <w:rPr>
                <w:rFonts w:ascii="Calibri" w:hAnsi="Calibri"/>
                <w:b/>
                <w:color w:val="30A46C"/>
                <w:sz w:val="22"/>
              </w:rPr>
              <w:t>+1.6%</w:t>
            </w:r>
          </w:p>
        </w:tc>
        <w:tc>
          <w:tcPr>
            <w:tcW w:type="dxa" w:w="1234"/>
          </w:tcPr>
          <w:p>
            <w:r>
              <w:rPr>
                <w:rFonts w:ascii="Calibri" w:hAnsi="Calibri"/>
                <w:sz w:val="22"/>
              </w:rPr>
              <w:t>$699.0M</w:t>
            </w:r>
          </w:p>
        </w:tc>
        <w:tc>
          <w:tcPr>
            <w:tcW w:type="dxa" w:w="1234"/>
          </w:tcPr>
          <w:p>
            <w:r>
              <w:rPr>
                <w:rFonts w:ascii="Calibri" w:hAnsi="Calibri"/>
                <w:sz w:val="22"/>
              </w:rPr>
              <w:t>$671.8M</w:t>
            </w:r>
          </w:p>
        </w:tc>
        <w:tc>
          <w:tcPr>
            <w:tcW w:type="dxa" w:w="1234"/>
          </w:tcPr>
          <w:p>
            <w:r>
              <w:rPr>
                <w:rFonts w:ascii="Calibri" w:hAnsi="Calibri"/>
                <w:b/>
                <w:color w:val="30A46C"/>
                <w:sz w:val="22"/>
              </w:rPr>
              <w:t>+4.0%</w:t>
            </w:r>
          </w:p>
        </w:tc>
      </w:tr>
      <w:tr>
        <w:tc>
          <w:tcPr>
            <w:tcW w:type="dxa" w:w="1234"/>
          </w:tcPr>
          <w:p>
            <w:r>
              <w:rPr>
                <w:rFonts w:ascii="Calibri" w:hAnsi="Calibri"/>
                <w:sz w:val="22"/>
              </w:rPr>
              <w:t>Q3 2025</w:t>
            </w:r>
          </w:p>
        </w:tc>
        <w:tc>
          <w:tcPr>
            <w:tcW w:type="dxa" w:w="1234"/>
          </w:tcPr>
          <w:p>
            <w:r>
              <w:rPr>
                <w:rFonts w:ascii="Calibri" w:hAnsi="Calibri"/>
                <w:sz w:val="22"/>
              </w:rPr>
              <w:t>$3.28</w:t>
            </w:r>
          </w:p>
        </w:tc>
        <w:tc>
          <w:tcPr>
            <w:tcW w:type="dxa" w:w="1234"/>
          </w:tcPr>
          <w:p>
            <w:r>
              <w:rPr>
                <w:rFonts w:ascii="Calibri" w:hAnsi="Calibri"/>
                <w:sz w:val="22"/>
              </w:rPr>
              <w:t>$3.22</w:t>
            </w:r>
          </w:p>
        </w:tc>
        <w:tc>
          <w:tcPr>
            <w:tcW w:type="dxa" w:w="1234"/>
          </w:tcPr>
          <w:p>
            <w:r>
              <w:rPr>
                <w:rFonts w:ascii="Calibri" w:hAnsi="Calibri"/>
                <w:b/>
                <w:color w:val="30A46C"/>
                <w:sz w:val="22"/>
              </w:rPr>
              <w:t>+1.9%</w:t>
            </w:r>
          </w:p>
        </w:tc>
        <w:tc>
          <w:tcPr>
            <w:tcW w:type="dxa" w:w="1234"/>
          </w:tcPr>
          <w:p>
            <w:r>
              <w:rPr>
                <w:rFonts w:ascii="Calibri" w:hAnsi="Calibri"/>
                <w:sz w:val="22"/>
              </w:rPr>
              <w:t>$732.3M</w:t>
            </w:r>
          </w:p>
        </w:tc>
        <w:tc>
          <w:tcPr>
            <w:tcW w:type="dxa" w:w="1234"/>
          </w:tcPr>
          <w:p>
            <w:r>
              <w:rPr>
                <w:rFonts w:ascii="Calibri" w:hAnsi="Calibri"/>
                <w:sz w:val="22"/>
              </w:rPr>
              <w:t>$713.5M</w:t>
            </w:r>
          </w:p>
        </w:tc>
        <w:tc>
          <w:tcPr>
            <w:tcW w:type="dxa" w:w="1234"/>
          </w:tcPr>
          <w:p>
            <w:r>
              <w:rPr>
                <w:rFonts w:ascii="Calibri" w:hAnsi="Calibri"/>
                <w:b/>
                <w:color w:val="30A46C"/>
                <w:sz w:val="22"/>
              </w:rPr>
              <w:t>+2.6%</w:t>
            </w:r>
          </w:p>
        </w:tc>
      </w:tr>
      <w:tr>
        <w:tc>
          <w:tcPr>
            <w:tcW w:type="dxa" w:w="1234"/>
          </w:tcPr>
          <w:p>
            <w:r>
              <w:rPr>
                <w:rFonts w:ascii="Calibri" w:hAnsi="Calibri"/>
                <w:sz w:val="22"/>
              </w:rPr>
              <w:t>Q4 2025</w:t>
            </w:r>
          </w:p>
        </w:tc>
        <w:tc>
          <w:tcPr>
            <w:tcW w:type="dxa" w:w="1234"/>
          </w:tcPr>
          <w:p>
            <w:r>
              <w:rPr>
                <w:rFonts w:ascii="Calibri" w:hAnsi="Calibri"/>
                <w:sz w:val="22"/>
              </w:rPr>
              <w:t>$3.18</w:t>
            </w:r>
          </w:p>
        </w:tc>
        <w:tc>
          <w:tcPr>
            <w:tcW w:type="dxa" w:w="1234"/>
          </w:tcPr>
          <w:p>
            <w:r>
              <w:rPr>
                <w:rFonts w:ascii="Calibri" w:hAnsi="Calibri"/>
                <w:sz w:val="22"/>
              </w:rPr>
              <w:t>$3.27</w:t>
            </w:r>
          </w:p>
        </w:tc>
        <w:tc>
          <w:tcPr>
            <w:tcW w:type="dxa" w:w="1234"/>
          </w:tcPr>
          <w:p>
            <w:r>
              <w:rPr>
                <w:rFonts w:ascii="Calibri" w:hAnsi="Calibri"/>
                <w:b/>
                <w:color w:val="E5484D"/>
                <w:sz w:val="22"/>
              </w:rPr>
              <w:t>−2.8%</w:t>
            </w:r>
          </w:p>
        </w:tc>
        <w:tc>
          <w:tcPr>
            <w:tcW w:type="dxa" w:w="1234"/>
          </w:tcPr>
          <w:p>
            <w:r>
              <w:rPr>
                <w:rFonts w:ascii="Calibri" w:hAnsi="Calibri"/>
                <w:sz w:val="22"/>
              </w:rPr>
              <w:t>$719.6M</w:t>
            </w:r>
          </w:p>
        </w:tc>
        <w:tc>
          <w:tcPr>
            <w:tcW w:type="dxa" w:w="1234"/>
          </w:tcPr>
          <w:p>
            <w:r>
              <w:rPr>
                <w:rFonts w:ascii="Calibri" w:hAnsi="Calibri"/>
                <w:sz w:val="22"/>
              </w:rPr>
              <w:t>$727.7M</w:t>
            </w:r>
          </w:p>
        </w:tc>
        <w:tc>
          <w:tcPr>
            <w:tcW w:type="dxa" w:w="1234"/>
          </w:tcPr>
          <w:p>
            <w:r>
              <w:rPr>
                <w:rFonts w:ascii="Calibri" w:hAnsi="Calibri"/>
                <w:b/>
                <w:color w:val="E5484D"/>
                <w:sz w:val="22"/>
              </w:rPr>
              <w:t>−1.1%</w:t>
            </w:r>
          </w:p>
        </w:tc>
      </w:tr>
      <w:tr>
        <w:tc>
          <w:tcPr>
            <w:tcW w:type="dxa" w:w="1234"/>
          </w:tcPr>
          <w:p>
            <w:r>
              <w:rPr>
                <w:rFonts w:ascii="Calibri" w:hAnsi="Calibri"/>
                <w:sz w:val="22"/>
              </w:rPr>
              <w:t>Q1 2026</w:t>
            </w:r>
          </w:p>
        </w:tc>
        <w:tc>
          <w:tcPr>
            <w:tcW w:type="dxa" w:w="1234"/>
          </w:tcPr>
          <w:p>
            <w:r>
              <w:rPr>
                <w:rFonts w:ascii="Calibri" w:hAnsi="Calibri"/>
                <w:sz w:val="22"/>
              </w:rPr>
              <w:t>$3.01</w:t>
            </w:r>
          </w:p>
        </w:tc>
        <w:tc>
          <w:tcPr>
            <w:tcW w:type="dxa" w:w="1234"/>
          </w:tcPr>
          <w:p>
            <w:r>
              <w:rPr>
                <w:rFonts w:ascii="Calibri" w:hAnsi="Calibri"/>
                <w:sz w:val="22"/>
              </w:rPr>
              <w:t>$3.00</w:t>
            </w:r>
          </w:p>
        </w:tc>
        <w:tc>
          <w:tcPr>
            <w:tcW w:type="dxa" w:w="1234"/>
          </w:tcPr>
          <w:p>
            <w:r>
              <w:rPr>
                <w:rFonts w:ascii="Calibri" w:hAnsi="Calibri"/>
                <w:b/>
                <w:color w:val="30A46C"/>
                <w:sz w:val="22"/>
              </w:rPr>
              <w:t>+0.3%</w:t>
            </w:r>
          </w:p>
        </w:tc>
        <w:tc>
          <w:tcPr>
            <w:tcW w:type="dxa" w:w="1234"/>
          </w:tcPr>
          <w:p>
            <w:r>
              <w:rPr>
                <w:rFonts w:ascii="Calibri" w:hAnsi="Calibri"/>
                <w:sz w:val="22"/>
              </w:rPr>
              <w:t>$703.4M</w:t>
            </w:r>
          </w:p>
        </w:tc>
        <w:tc>
          <w:tcPr>
            <w:tcW w:type="dxa" w:w="1234"/>
          </w:tcPr>
          <w:p>
            <w:r>
              <w:rPr>
                <w:rFonts w:ascii="Calibri" w:hAnsi="Calibri"/>
                <w:sz w:val="22"/>
              </w:rPr>
              <w:t>$697.3M</w:t>
            </w:r>
          </w:p>
        </w:tc>
        <w:tc>
          <w:tcPr>
            <w:tcW w:type="dxa" w:w="1234"/>
          </w:tcPr>
          <w:p>
            <w:r>
              <w:rPr>
                <w:rFonts w:ascii="Calibri" w:hAnsi="Calibri"/>
                <w:b/>
                <w:color w:val="30A46C"/>
                <w:sz w:val="22"/>
              </w:rPr>
              <w:t>+0.9%</w:t>
            </w:r>
          </w:p>
        </w:tc>
      </w:tr>
    </w:tbl>
    <w:p>
      <w:r>
        <w:rPr>
          <w:rFonts w:ascii="Calibri" w:hAnsi="Calibri"/>
          <w:b/>
          <w:color w:val="525866"/>
          <w:sz w:val="22"/>
        </w:rPr>
        <w:t xml:space="preserve">Pattern: </w:t>
      </w:r>
      <w:r>
        <w:rPr>
          <w:rFonts w:ascii="Calibri" w:hAnsi="Calibri"/>
          <w:i/>
          <w:color w:val="525866"/>
          <w:sz w:val="22"/>
        </w:rPr>
        <w:t>SBAC has beaten AFFO/share consensus in 5 of the last 8 quarters and beaten revenue consensus in 5 of 8. The two misses on AFFO/share (Q4 2025, Q2 2024) coincided with elevated churn and interest headwinds. The beat rate has been consistent but modest — typically 0–2% — suggesting management guides conservatively but does not sandbag aggressively.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raised modestly at Q1 2026 earnings (April 29) across all key metrics, driven by Q1 outperformance and FX tailwinds. </w:t>
      </w:r>
      <w:r>
        <w:rPr>
          <w:rFonts w:ascii="Calibri" w:hAnsi="Calibri"/>
          <w:b/>
          <w:color w:val="525866"/>
          <w:sz w:val="22"/>
        </w:rPr>
        <w:t>No formal guidance revision has been issued since then</w:t>
      </w:r>
      <w:r>
        <w:rPr>
          <w:rFonts w:ascii="Calibri" w:hAnsi="Calibri"/>
          <w:color w:val="525866"/>
          <w:sz w:val="22"/>
        </w:rPr>
        <w:t>, but the July 23 completion of the $3.5B investment-grade notes offering — which refinanced the secured term loan and revolver — will likely prompt an updated interest expense and AFFO outlook on the Q2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Revenue</w:t>
            </w:r>
          </w:p>
        </w:tc>
        <w:tc>
          <w:tcPr>
            <w:tcW w:type="dxa" w:w="1728"/>
          </w:tcPr>
          <w:p>
            <w:r>
              <w:rPr>
                <w:rFonts w:ascii="Calibri" w:hAnsi="Calibri"/>
                <w:sz w:val="22"/>
              </w:rPr>
              <w:t>$2,839–$2,884M</w:t>
            </w:r>
          </w:p>
        </w:tc>
        <w:tc>
          <w:tcPr>
            <w:tcW w:type="dxa" w:w="1728"/>
          </w:tcPr>
          <w:p>
            <w:r>
              <w:rPr>
                <w:rFonts w:ascii="Calibri" w:hAnsi="Calibri"/>
                <w:sz w:val="22"/>
              </w:rPr>
              <w:t>—</w:t>
            </w:r>
          </w:p>
        </w:tc>
        <w:tc>
          <w:tcPr>
            <w:tcW w:type="dxa" w:w="1728"/>
          </w:tcPr>
          <w:p>
            <w:r>
              <w:rPr>
                <w:rFonts w:ascii="Calibri" w:hAnsi="Calibri"/>
                <w:sz w:val="22"/>
              </w:rPr>
              <w:t>$2,859.9M</w:t>
            </w:r>
          </w:p>
        </w:tc>
        <w:tc>
          <w:tcPr>
            <w:tcW w:type="dxa" w:w="1728"/>
          </w:tcPr>
          <w:p>
            <w:r>
              <w:rPr>
                <w:rFonts w:ascii="Calibri" w:hAnsi="Calibri"/>
                <w:sz w:val="22"/>
              </w:rPr>
              <w:t>No post-earnings revision; consensus at midpoint</w:t>
            </w:r>
          </w:p>
        </w:tc>
      </w:tr>
      <w:tr>
        <w:tc>
          <w:tcPr>
            <w:tcW w:type="dxa" w:w="1728"/>
          </w:tcPr>
          <w:p>
            <w:r>
              <w:rPr>
                <w:rFonts w:ascii="Calibri" w:hAnsi="Calibri"/>
                <w:sz w:val="22"/>
              </w:rPr>
              <w:t>Site Leasing Revenue</w:t>
            </w:r>
          </w:p>
        </w:tc>
        <w:tc>
          <w:tcPr>
            <w:tcW w:type="dxa" w:w="1728"/>
          </w:tcPr>
          <w:p>
            <w:r>
              <w:rPr>
                <w:rFonts w:ascii="Calibri" w:hAnsi="Calibri"/>
                <w:sz w:val="22"/>
              </w:rPr>
              <w:t>$2,649–$2,674M</w:t>
            </w:r>
          </w:p>
        </w:tc>
        <w:tc>
          <w:tcPr>
            <w:tcW w:type="dxa" w:w="1728"/>
          </w:tcPr>
          <w:p>
            <w:r>
              <w:rPr>
                <w:rFonts w:ascii="Calibri" w:hAnsi="Calibri"/>
                <w:sz w:val="22"/>
              </w:rPr>
              <w:t>—</w:t>
            </w:r>
          </w:p>
        </w:tc>
        <w:tc>
          <w:tcPr>
            <w:tcW w:type="dxa" w:w="1728"/>
          </w:tcPr>
          <w:p>
            <w:r>
              <w:rPr>
                <w:rFonts w:ascii="Calibri" w:hAnsi="Calibri"/>
                <w:sz w:val="22"/>
              </w:rPr>
              <w:t>$2,660.4M</w:t>
            </w:r>
          </w:p>
        </w:tc>
        <w:tc>
          <w:tcPr>
            <w:tcW w:type="dxa" w:w="1728"/>
          </w:tcPr>
          <w:p>
            <w:r>
              <w:rPr>
                <w:rFonts w:ascii="Calibri" w:hAnsi="Calibri"/>
                <w:sz w:val="22"/>
              </w:rPr>
              <w:t>No revision; consensus near midpoint</w:t>
            </w:r>
          </w:p>
        </w:tc>
      </w:tr>
      <w:tr>
        <w:tc>
          <w:tcPr>
            <w:tcW w:type="dxa" w:w="1728"/>
          </w:tcPr>
          <w:p>
            <w:r>
              <w:rPr>
                <w:rFonts w:ascii="Calibri" w:hAnsi="Calibri"/>
                <w:sz w:val="22"/>
              </w:rPr>
              <w:t>Domestic Site Leasing</w:t>
            </w:r>
          </w:p>
        </w:tc>
        <w:tc>
          <w:tcPr>
            <w:tcW w:type="dxa" w:w="1728"/>
          </w:tcPr>
          <w:p>
            <w:r>
              <w:rPr>
                <w:rFonts w:ascii="Calibri" w:hAnsi="Calibri"/>
                <w:sz w:val="22"/>
              </w:rPr>
              <w:t>$1,804–$1,818M</w:t>
            </w:r>
          </w:p>
        </w:tc>
        <w:tc>
          <w:tcPr>
            <w:tcW w:type="dxa" w:w="1728"/>
          </w:tcPr>
          <w:p>
            <w:r>
              <w:rPr>
                <w:rFonts w:ascii="Calibri" w:hAnsi="Calibri"/>
                <w:sz w:val="22"/>
              </w:rPr>
              <w:t>—</w:t>
            </w:r>
          </w:p>
        </w:tc>
        <w:tc>
          <w:tcPr>
            <w:tcW w:type="dxa" w:w="1728"/>
          </w:tcPr>
          <w:p>
            <w:r>
              <w:rPr>
                <w:rFonts w:ascii="Calibri" w:hAnsi="Calibri"/>
                <w:sz w:val="22"/>
              </w:rPr>
              <w:t>$1,813.9M</w:t>
            </w:r>
          </w:p>
        </w:tc>
        <w:tc>
          <w:tcPr>
            <w:tcW w:type="dxa" w:w="1728"/>
          </w:tcPr>
          <w:p>
            <w:r>
              <w:rPr>
                <w:rFonts w:ascii="Calibri" w:hAnsi="Calibri"/>
                <w:sz w:val="22"/>
              </w:rPr>
              <w:t>No revision; consensus near midpoint</w:t>
            </w:r>
          </w:p>
        </w:tc>
      </w:tr>
      <w:tr>
        <w:tc>
          <w:tcPr>
            <w:tcW w:type="dxa" w:w="1728"/>
          </w:tcPr>
          <w:p>
            <w:r>
              <w:rPr>
                <w:rFonts w:ascii="Calibri" w:hAnsi="Calibri"/>
                <w:sz w:val="22"/>
              </w:rPr>
              <w:t>International Site Leasing</w:t>
            </w:r>
          </w:p>
        </w:tc>
        <w:tc>
          <w:tcPr>
            <w:tcW w:type="dxa" w:w="1728"/>
          </w:tcPr>
          <w:p>
            <w:r>
              <w:rPr>
                <w:rFonts w:ascii="Calibri" w:hAnsi="Calibri"/>
                <w:sz w:val="22"/>
              </w:rPr>
              <w:t>$845–$856M</w:t>
            </w:r>
          </w:p>
        </w:tc>
        <w:tc>
          <w:tcPr>
            <w:tcW w:type="dxa" w:w="1728"/>
          </w:tcPr>
          <w:p>
            <w:r>
              <w:rPr>
                <w:rFonts w:ascii="Calibri" w:hAnsi="Calibri"/>
                <w:sz w:val="22"/>
              </w:rPr>
              <w:t>—</w:t>
            </w:r>
          </w:p>
        </w:tc>
        <w:tc>
          <w:tcPr>
            <w:tcW w:type="dxa" w:w="1728"/>
          </w:tcPr>
          <w:p>
            <w:r>
              <w:rPr>
                <w:rFonts w:ascii="Calibri" w:hAnsi="Calibri"/>
                <w:sz w:val="22"/>
              </w:rPr>
              <w:t>$846.7M</w:t>
            </w:r>
          </w:p>
        </w:tc>
        <w:tc>
          <w:tcPr>
            <w:tcW w:type="dxa" w:w="1728"/>
          </w:tcPr>
          <w:p>
            <w:r>
              <w:rPr>
                <w:rFonts w:ascii="Calibri" w:hAnsi="Calibri"/>
                <w:sz w:val="22"/>
              </w:rPr>
              <w:t>No revision; consensus at low end of range</w:t>
            </w:r>
          </w:p>
        </w:tc>
      </w:tr>
      <w:tr>
        <w:tc>
          <w:tcPr>
            <w:tcW w:type="dxa" w:w="1728"/>
          </w:tcPr>
          <w:p>
            <w:r>
              <w:rPr>
                <w:rFonts w:ascii="Calibri" w:hAnsi="Calibri"/>
                <w:sz w:val="22"/>
              </w:rPr>
              <w:t>Site Development Revenue</w:t>
            </w:r>
          </w:p>
        </w:tc>
        <w:tc>
          <w:tcPr>
            <w:tcW w:type="dxa" w:w="1728"/>
          </w:tcPr>
          <w:p>
            <w:r>
              <w:rPr>
                <w:rFonts w:ascii="Calibri" w:hAnsi="Calibri"/>
                <w:sz w:val="22"/>
              </w:rPr>
              <w:t>$190–$210M</w:t>
            </w:r>
          </w:p>
        </w:tc>
        <w:tc>
          <w:tcPr>
            <w:tcW w:type="dxa" w:w="1728"/>
          </w:tcPr>
          <w:p>
            <w:r>
              <w:rPr>
                <w:rFonts w:ascii="Calibri" w:hAnsi="Calibri"/>
                <w:sz w:val="22"/>
              </w:rPr>
              <w:t>—</w:t>
            </w:r>
          </w:p>
        </w:tc>
        <w:tc>
          <w:tcPr>
            <w:tcW w:type="dxa" w:w="1728"/>
          </w:tcPr>
          <w:p>
            <w:r>
              <w:rPr>
                <w:rFonts w:ascii="Calibri" w:hAnsi="Calibri"/>
                <w:sz w:val="22"/>
              </w:rPr>
              <w:t>$199.5M</w:t>
            </w:r>
          </w:p>
        </w:tc>
        <w:tc>
          <w:tcPr>
            <w:tcW w:type="dxa" w:w="1728"/>
          </w:tcPr>
          <w:p>
            <w:r>
              <w:rPr>
                <w:rFonts w:ascii="Calibri" w:hAnsi="Calibri"/>
                <w:sz w:val="22"/>
              </w:rPr>
              <w:t>No revision; consensus at midpoint</w:t>
            </w:r>
          </w:p>
        </w:tc>
      </w:tr>
      <w:tr>
        <w:tc>
          <w:tcPr>
            <w:tcW w:type="dxa" w:w="1728"/>
          </w:tcPr>
          <w:p>
            <w:r>
              <w:rPr>
                <w:rFonts w:ascii="Calibri" w:hAnsi="Calibri"/>
                <w:sz w:val="22"/>
              </w:rPr>
              <w:t>Adjusted EBITDA</w:t>
            </w:r>
          </w:p>
        </w:tc>
        <w:tc>
          <w:tcPr>
            <w:tcW w:type="dxa" w:w="1728"/>
          </w:tcPr>
          <w:p>
            <w:r>
              <w:rPr>
                <w:rFonts w:ascii="Calibri" w:hAnsi="Calibri"/>
                <w:sz w:val="22"/>
              </w:rPr>
              <w:t>$1,921–$1,941M</w:t>
            </w:r>
          </w:p>
        </w:tc>
        <w:tc>
          <w:tcPr>
            <w:tcW w:type="dxa" w:w="1728"/>
          </w:tcPr>
          <w:p>
            <w:r>
              <w:rPr>
                <w:rFonts w:ascii="Calibri" w:hAnsi="Calibri"/>
                <w:sz w:val="22"/>
              </w:rPr>
              <w:t>—</w:t>
            </w:r>
          </w:p>
        </w:tc>
        <w:tc>
          <w:tcPr>
            <w:tcW w:type="dxa" w:w="1728"/>
          </w:tcPr>
          <w:p>
            <w:r>
              <w:rPr>
                <w:rFonts w:ascii="Calibri" w:hAnsi="Calibri"/>
                <w:sz w:val="22"/>
              </w:rPr>
              <w:t>$1,934.7M</w:t>
            </w:r>
          </w:p>
        </w:tc>
        <w:tc>
          <w:tcPr>
            <w:tcW w:type="dxa" w:w="1728"/>
          </w:tcPr>
          <w:p>
            <w:r>
              <w:rPr>
                <w:rFonts w:ascii="Calibri" w:hAnsi="Calibri"/>
                <w:sz w:val="22"/>
              </w:rPr>
              <w:t>No revision; consensus near midpoint</w:t>
            </w:r>
          </w:p>
        </w:tc>
      </w:tr>
      <w:tr>
        <w:tc>
          <w:tcPr>
            <w:tcW w:type="dxa" w:w="1728"/>
          </w:tcPr>
          <w:p>
            <w:r>
              <w:rPr>
                <w:rFonts w:ascii="Calibri" w:hAnsi="Calibri"/>
                <w:sz w:val="22"/>
              </w:rPr>
              <w:t>Net Cash Interest Expense</w:t>
            </w:r>
          </w:p>
        </w:tc>
        <w:tc>
          <w:tcPr>
            <w:tcW w:type="dxa" w:w="1728"/>
          </w:tcPr>
          <w:p>
            <w:r>
              <w:rPr>
                <w:rFonts w:ascii="Calibri" w:hAnsi="Calibri"/>
                <w:sz w:val="22"/>
              </w:rPr>
              <w:t>$492–$500M</w:t>
            </w:r>
          </w:p>
        </w:tc>
        <w:tc>
          <w:tcPr>
            <w:tcW w:type="dxa" w:w="1728"/>
          </w:tcPr>
          <w:p>
            <w:r>
              <w:rPr>
                <w:rFonts w:ascii="Calibri" w:hAnsi="Calibri"/>
                <w:sz w:val="22"/>
              </w:rPr>
              <w:t>Likely to update on Q2 call</w:t>
            </w:r>
          </w:p>
        </w:tc>
        <w:tc>
          <w:tcPr>
            <w:tcW w:type="dxa" w:w="1728"/>
          </w:tcPr>
          <w:p>
            <w:r>
              <w:rPr>
                <w:rFonts w:ascii="Calibri" w:hAnsi="Calibri"/>
                <w:sz w:val="22"/>
              </w:rPr>
              <w:t>N/A</w:t>
            </w:r>
          </w:p>
        </w:tc>
        <w:tc>
          <w:tcPr>
            <w:tcW w:type="dxa" w:w="1728"/>
          </w:tcPr>
          <w:p>
            <w:r>
              <w:rPr>
                <w:rFonts w:ascii="Calibri" w:hAnsi="Calibri"/>
                <w:sz w:val="22"/>
              </w:rPr>
              <w:t>↑ July 23 IG notes offering ($3.5B at 4.875–5.45%) refinanced secured term loan + revolver; interest expense impact to be quantified on Q2 call</w:t>
            </w:r>
          </w:p>
        </w:tc>
      </w:tr>
      <w:tr>
        <w:tc>
          <w:tcPr>
            <w:tcW w:type="dxa" w:w="1728"/>
          </w:tcPr>
          <w:p>
            <w:r>
              <w:rPr>
                <w:rFonts w:ascii="Calibri" w:hAnsi="Calibri"/>
                <w:sz w:val="22"/>
              </w:rPr>
              <w:t>AFFO</w:t>
            </w:r>
          </w:p>
        </w:tc>
        <w:tc>
          <w:tcPr>
            <w:tcW w:type="dxa" w:w="1728"/>
          </w:tcPr>
          <w:p>
            <w:r>
              <w:rPr>
                <w:rFonts w:ascii="Calibri" w:hAnsi="Calibri"/>
                <w:sz w:val="22"/>
              </w:rPr>
              <w:t>$1,269–$1,317M</w:t>
            </w:r>
          </w:p>
        </w:tc>
        <w:tc>
          <w:tcPr>
            <w:tcW w:type="dxa" w:w="1728"/>
          </w:tcPr>
          <w:p>
            <w:r>
              <w:rPr>
                <w:rFonts w:ascii="Calibri" w:hAnsi="Calibri"/>
                <w:sz w:val="22"/>
              </w:rPr>
              <w:t>Likely to update on Q2 call</w:t>
            </w:r>
          </w:p>
        </w:tc>
        <w:tc>
          <w:tcPr>
            <w:tcW w:type="dxa" w:w="1728"/>
          </w:tcPr>
          <w:p>
            <w:r>
              <w:rPr>
                <w:rFonts w:ascii="Calibri" w:hAnsi="Calibri"/>
                <w:sz w:val="22"/>
              </w:rPr>
              <w:t>$1,290.4M</w:t>
            </w:r>
          </w:p>
        </w:tc>
        <w:tc>
          <w:tcPr>
            <w:tcW w:type="dxa" w:w="1728"/>
          </w:tcPr>
          <w:p>
            <w:r>
              <w:rPr>
                <w:rFonts w:ascii="Calibri" w:hAnsi="Calibri"/>
                <w:sz w:val="22"/>
              </w:rPr>
              <w:t>Refinancing impact on interest expense will drive revision; direction depends on rate differential vs. prior secured debt</w:t>
            </w:r>
          </w:p>
        </w:tc>
      </w:tr>
      <w:tr>
        <w:tc>
          <w:tcPr>
            <w:tcW w:type="dxa" w:w="1728"/>
          </w:tcPr>
          <w:p>
            <w:r>
              <w:rPr>
                <w:rFonts w:ascii="Calibri" w:hAnsi="Calibri"/>
                <w:b/>
                <w:sz w:val="22"/>
              </w:rPr>
              <w:t>AFFO per Share</w:t>
            </w:r>
          </w:p>
        </w:tc>
        <w:tc>
          <w:tcPr>
            <w:tcW w:type="dxa" w:w="1728"/>
          </w:tcPr>
          <w:p>
            <w:r>
              <w:rPr>
                <w:rFonts w:ascii="Calibri" w:hAnsi="Calibri"/>
                <w:sz w:val="22"/>
              </w:rPr>
              <w:t>$11.93–$12.38</w:t>
            </w:r>
          </w:p>
        </w:tc>
        <w:tc>
          <w:tcPr>
            <w:tcW w:type="dxa" w:w="1728"/>
          </w:tcPr>
          <w:p>
            <w:r>
              <w:rPr>
                <w:rFonts w:ascii="Calibri" w:hAnsi="Calibri"/>
                <w:sz w:val="22"/>
              </w:rPr>
              <w:t>Likely to update on Q2 call</w:t>
            </w:r>
          </w:p>
        </w:tc>
        <w:tc>
          <w:tcPr>
            <w:tcW w:type="dxa" w:w="1728"/>
          </w:tcPr>
          <w:p>
            <w:r>
              <w:rPr>
                <w:rFonts w:ascii="Calibri" w:hAnsi="Calibri"/>
                <w:sz w:val="22"/>
              </w:rPr>
              <w:t>$12.19</w:t>
            </w:r>
          </w:p>
        </w:tc>
        <w:tc>
          <w:tcPr>
            <w:tcW w:type="dxa" w:w="1728"/>
          </w:tcPr>
          <w:p>
            <w:r>
              <w:rPr>
                <w:rFonts w:ascii="Calibri" w:hAnsi="Calibri"/>
                <w:sz w:val="22"/>
              </w:rPr>
              <w:t>Key watch item: IG bond pricing (4.875–5.45%) vs. prior secured debt cost; any guidance raise/cut will move the stock</w:t>
            </w:r>
          </w:p>
        </w:tc>
      </w:tr>
      <w:tr>
        <w:tc>
          <w:tcPr>
            <w:tcW w:type="dxa" w:w="1728"/>
          </w:tcPr>
          <w:p>
            <w:r>
              <w:rPr>
                <w:rFonts w:ascii="Calibri" w:hAnsi="Calibri"/>
                <w:sz w:val="22"/>
              </w:rPr>
              <w:t>Non-Discretionary CapEx</w:t>
            </w:r>
          </w:p>
        </w:tc>
        <w:tc>
          <w:tcPr>
            <w:tcW w:type="dxa" w:w="1728"/>
          </w:tcPr>
          <w:p>
            <w:r>
              <w:rPr>
                <w:rFonts w:ascii="Calibri" w:hAnsi="Calibri"/>
                <w:sz w:val="22"/>
              </w:rPr>
              <w:t>$67–$77M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revision</w:t>
            </w:r>
          </w:p>
        </w:tc>
      </w:tr>
      <w:tr>
        <w:tc>
          <w:tcPr>
            <w:tcW w:type="dxa" w:w="1728"/>
          </w:tcPr>
          <w:p>
            <w:r>
              <w:rPr>
                <w:rFonts w:ascii="Calibri" w:hAnsi="Calibri"/>
                <w:sz w:val="22"/>
              </w:rPr>
              <w:t>Discretionary CapEx</w:t>
            </w:r>
          </w:p>
        </w:tc>
        <w:tc>
          <w:tcPr>
            <w:tcW w:type="dxa" w:w="1728"/>
          </w:tcPr>
          <w:p>
            <w:r>
              <w:rPr>
                <w:rFonts w:ascii="Calibri" w:hAnsi="Calibri"/>
                <w:sz w:val="22"/>
              </w:rPr>
              <w:t>$430–$450M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revision; includes Central America BTS ramp</w:t>
            </w:r>
          </w:p>
        </w:tc>
      </w:tr>
    </w:tbl>
    <w:p>
      <w:r>
        <w:rPr>
          <w:rFonts w:ascii="Calibri" w:hAnsi="Calibri"/>
          <w:i/>
          <w:color w:val="525866"/>
          <w:sz w:val="22"/>
        </w:rPr>
        <w:t>Sources: SBA Communications Q1 2026 Earnings Release (April 29, 2026); SBA Communications 8-K (July 23–24, 2026) — $3.5B Senior Notes Offering;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the Q1 2026 print — AFFO/share consensus for Q2 2026 moved only from $2.986 to $2.992 (+0.2%) and FY 2026 from $12.188 to $12.194 (+0.05%) — indicating the street is neither adding cushion nor cutting numbers. </w:t>
      </w:r>
      <w:r>
        <w:rPr>
          <w:rFonts w:ascii="Calibri" w:hAnsi="Calibri"/>
          <w:b/>
          <w:color w:val="525866"/>
          <w:sz w:val="22"/>
        </w:rPr>
        <w:t>The gap between consensus and guidance midpoint is narrow, leaving little room for error but also suggesting a clean beat could drive meaningful upside.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4, 2026)</w:t>
            </w:r>
          </w:p>
        </w:tc>
        <w:tc>
          <w:tcPr>
            <w:tcW w:type="dxa" w:w="1080"/>
            <w:shd w:val="clear" w:color="auto" w:fill="3B4259"/>
          </w:tcPr>
          <w:p>
            <w:r>
              <w:rPr>
                <w:rFonts w:ascii="Calibri" w:hAnsi="Calibri"/>
                <w:b/>
                <w:color w:val="FFFFFF"/>
                <w:sz w:val="22"/>
              </w:rPr>
              <w:t>Current Consensus (Aug 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AFFO/Share — Q2 2026</w:t>
            </w:r>
          </w:p>
        </w:tc>
        <w:tc>
          <w:tcPr>
            <w:tcW w:type="dxa" w:w="1080"/>
          </w:tcPr>
          <w:p>
            <w:r>
              <w:rPr>
                <w:rFonts w:ascii="Calibri" w:hAnsi="Calibri"/>
                <w:sz w:val="22"/>
              </w:rPr>
              <w:t>$2.986</w:t>
            </w:r>
          </w:p>
        </w:tc>
        <w:tc>
          <w:tcPr>
            <w:tcW w:type="dxa" w:w="1080"/>
          </w:tcPr>
          <w:p>
            <w:r>
              <w:rPr>
                <w:rFonts w:ascii="Calibri" w:hAnsi="Calibri"/>
                <w:sz w:val="22"/>
              </w:rPr>
              <w:t>$2.992</w:t>
            </w:r>
          </w:p>
        </w:tc>
        <w:tc>
          <w:tcPr>
            <w:tcW w:type="dxa" w:w="1080"/>
          </w:tcPr>
          <w:p>
            <w:r>
              <w:rPr>
                <w:rFonts w:ascii="Calibri" w:hAnsi="Calibri"/>
                <w:sz w:val="22"/>
              </w:rPr>
              <w:t>+0.2%</w:t>
            </w:r>
          </w:p>
        </w:tc>
        <w:tc>
          <w:tcPr>
            <w:tcW w:type="dxa" w:w="1080"/>
          </w:tcPr>
          <w:p>
            <w:r>
              <w:rPr>
                <w:rFonts w:ascii="Calibri" w:hAnsi="Calibri"/>
                <w:sz w:val="22"/>
              </w:rPr>
              <w:t>N/A (no Q2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b/>
                <w:sz w:val="22"/>
              </w:rPr>
              <w:t>AFFO/Share — FY 2026</w:t>
            </w:r>
          </w:p>
        </w:tc>
        <w:tc>
          <w:tcPr>
            <w:tcW w:type="dxa" w:w="1080"/>
          </w:tcPr>
          <w:p>
            <w:r>
              <w:rPr>
                <w:rFonts w:ascii="Calibri" w:hAnsi="Calibri"/>
                <w:sz w:val="22"/>
              </w:rPr>
              <w:t>$12.188</w:t>
            </w:r>
          </w:p>
        </w:tc>
        <w:tc>
          <w:tcPr>
            <w:tcW w:type="dxa" w:w="1080"/>
          </w:tcPr>
          <w:p>
            <w:r>
              <w:rPr>
                <w:rFonts w:ascii="Calibri" w:hAnsi="Calibri"/>
                <w:sz w:val="22"/>
              </w:rPr>
              <w:t>$12.194</w:t>
            </w:r>
          </w:p>
        </w:tc>
        <w:tc>
          <w:tcPr>
            <w:tcW w:type="dxa" w:w="1080"/>
          </w:tcPr>
          <w:p>
            <w:r>
              <w:rPr>
                <w:rFonts w:ascii="Calibri" w:hAnsi="Calibri"/>
                <w:sz w:val="22"/>
              </w:rPr>
              <w:t>+0.05%</w:t>
            </w:r>
          </w:p>
        </w:tc>
        <w:tc>
          <w:tcPr>
            <w:tcW w:type="dxa" w:w="1080"/>
          </w:tcPr>
          <w:p>
            <w:r>
              <w:rPr>
                <w:rFonts w:ascii="Calibri" w:hAnsi="Calibri"/>
                <w:sz w:val="22"/>
              </w:rPr>
              <w:t>$11.93–$12.38 ($12.155 midpt)</w:t>
            </w:r>
          </w:p>
        </w:tc>
        <w:tc>
          <w:tcPr>
            <w:tcW w:type="dxa" w:w="1080"/>
          </w:tcPr>
          <w:p>
            <w:r>
              <w:rPr>
                <w:rFonts w:ascii="Calibri" w:hAnsi="Calibri"/>
                <w:sz w:val="22"/>
              </w:rPr>
              <w:t>Unchanged (pending Q2 call)</w:t>
            </w:r>
          </w:p>
        </w:tc>
        <w:tc>
          <w:tcPr>
            <w:tcW w:type="dxa" w:w="1080"/>
          </w:tcPr>
          <w:p>
            <w:r>
              <w:rPr>
                <w:rFonts w:ascii="Calibri" w:hAnsi="Calibri"/>
                <w:sz w:val="22"/>
              </w:rPr>
              <w:t>—</w:t>
            </w:r>
          </w:p>
        </w:tc>
        <w:tc>
          <w:tcPr>
            <w:tcW w:type="dxa" w:w="1080"/>
          </w:tcPr>
          <w:p>
            <w:r>
              <w:rPr>
                <w:rFonts w:ascii="Calibri" w:hAnsi="Calibri"/>
                <w:sz w:val="22"/>
              </w:rPr>
              <w:t>+0.3% above midpt</w:t>
            </w:r>
          </w:p>
        </w:tc>
      </w:tr>
      <w:tr>
        <w:tc>
          <w:tcPr>
            <w:tcW w:type="dxa" w:w="1080"/>
          </w:tcPr>
          <w:p>
            <w:r>
              <w:rPr>
                <w:rFonts w:ascii="Calibri" w:hAnsi="Calibri"/>
                <w:sz w:val="22"/>
              </w:rPr>
              <w:t>Total Revenue — Q2 2026</w:t>
            </w:r>
          </w:p>
        </w:tc>
        <w:tc>
          <w:tcPr>
            <w:tcW w:type="dxa" w:w="1080"/>
          </w:tcPr>
          <w:p>
            <w:r>
              <w:rPr>
                <w:rFonts w:ascii="Calibri" w:hAnsi="Calibri"/>
                <w:sz w:val="22"/>
              </w:rPr>
              <w:t>$704.4M</w:t>
            </w:r>
          </w:p>
        </w:tc>
        <w:tc>
          <w:tcPr>
            <w:tcW w:type="dxa" w:w="1080"/>
          </w:tcPr>
          <w:p>
            <w:r>
              <w:rPr>
                <w:rFonts w:ascii="Calibri" w:hAnsi="Calibri"/>
                <w:sz w:val="22"/>
              </w:rPr>
              <w:t>$706.3M</w:t>
            </w:r>
          </w:p>
        </w:tc>
        <w:tc>
          <w:tcPr>
            <w:tcW w:type="dxa" w:w="1080"/>
          </w:tcPr>
          <w:p>
            <w:r>
              <w:rPr>
                <w:rFonts w:ascii="Calibri" w:hAnsi="Calibri"/>
                <w:sz w:val="22"/>
              </w:rPr>
              <w:t>+0.3%</w:t>
            </w:r>
          </w:p>
        </w:tc>
        <w:tc>
          <w:tcPr>
            <w:tcW w:type="dxa" w:w="1080"/>
          </w:tcPr>
          <w:p>
            <w:r>
              <w:rPr>
                <w:rFonts w:ascii="Calibri" w:hAnsi="Calibri"/>
                <w:sz w:val="22"/>
              </w:rPr>
              <w:t>N/A (no Q2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$2,859.1M</w:t>
            </w:r>
          </w:p>
        </w:tc>
        <w:tc>
          <w:tcPr>
            <w:tcW w:type="dxa" w:w="1080"/>
          </w:tcPr>
          <w:p>
            <w:r>
              <w:rPr>
                <w:rFonts w:ascii="Calibri" w:hAnsi="Calibri"/>
                <w:sz w:val="22"/>
              </w:rPr>
              <w:t>$2,859.9M</w:t>
            </w:r>
          </w:p>
        </w:tc>
        <w:tc>
          <w:tcPr>
            <w:tcW w:type="dxa" w:w="1080"/>
          </w:tcPr>
          <w:p>
            <w:r>
              <w:rPr>
                <w:rFonts w:ascii="Calibri" w:hAnsi="Calibri"/>
                <w:sz w:val="22"/>
              </w:rPr>
              <w:t>+0.03%</w:t>
            </w:r>
          </w:p>
        </w:tc>
        <w:tc>
          <w:tcPr>
            <w:tcW w:type="dxa" w:w="1080"/>
          </w:tcPr>
          <w:p>
            <w:r>
              <w:rPr>
                <w:rFonts w:ascii="Calibri" w:hAnsi="Calibri"/>
                <w:sz w:val="22"/>
              </w:rPr>
              <w:t>$2,839–$2,884M ($2,861.5M midpt)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below midpt</w:t>
            </w:r>
          </w:p>
        </w:tc>
      </w:tr>
      <w:tr>
        <w:tc>
          <w:tcPr>
            <w:tcW w:type="dxa" w:w="1080"/>
          </w:tcPr>
          <w:p>
            <w:r>
              <w:rPr>
                <w:rFonts w:ascii="Calibri" w:hAnsi="Calibri"/>
                <w:sz w:val="22"/>
              </w:rPr>
              <w:t>Adj. EBITDA — Q2 2026</w:t>
            </w:r>
          </w:p>
        </w:tc>
        <w:tc>
          <w:tcPr>
            <w:tcW w:type="dxa" w:w="1080"/>
          </w:tcPr>
          <w:p>
            <w:r>
              <w:rPr>
                <w:rFonts w:ascii="Calibri" w:hAnsi="Calibri"/>
                <w:sz w:val="22"/>
              </w:rPr>
              <w:t>$476.3M</w:t>
            </w:r>
          </w:p>
        </w:tc>
        <w:tc>
          <w:tcPr>
            <w:tcW w:type="dxa" w:w="1080"/>
          </w:tcPr>
          <w:p>
            <w:r>
              <w:rPr>
                <w:rFonts w:ascii="Calibri" w:hAnsi="Calibri"/>
                <w:sz w:val="22"/>
              </w:rPr>
              <w:t>$477.1M</w:t>
            </w:r>
          </w:p>
        </w:tc>
        <w:tc>
          <w:tcPr>
            <w:tcW w:type="dxa" w:w="1080"/>
          </w:tcPr>
          <w:p>
            <w:r>
              <w:rPr>
                <w:rFonts w:ascii="Calibri" w:hAnsi="Calibri"/>
                <w:sz w:val="22"/>
              </w:rPr>
              <w:t>+0.2%</w:t>
            </w:r>
          </w:p>
        </w:tc>
        <w:tc>
          <w:tcPr>
            <w:tcW w:type="dxa" w:w="1080"/>
          </w:tcPr>
          <w:p>
            <w:r>
              <w:rPr>
                <w:rFonts w:ascii="Calibri" w:hAnsi="Calibri"/>
                <w:sz w:val="22"/>
              </w:rPr>
              <w:t>N/A (no Q2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FY 2026</w:t>
            </w:r>
          </w:p>
        </w:tc>
        <w:tc>
          <w:tcPr>
            <w:tcW w:type="dxa" w:w="1080"/>
          </w:tcPr>
          <w:p>
            <w:r>
              <w:rPr>
                <w:rFonts w:ascii="Calibri" w:hAnsi="Calibri"/>
                <w:sz w:val="22"/>
              </w:rPr>
              <w:t>$1,935.6M</w:t>
            </w:r>
          </w:p>
        </w:tc>
        <w:tc>
          <w:tcPr>
            <w:tcW w:type="dxa" w:w="1080"/>
          </w:tcPr>
          <w:p>
            <w:r>
              <w:rPr>
                <w:rFonts w:ascii="Calibri" w:hAnsi="Calibri"/>
                <w:sz w:val="22"/>
              </w:rPr>
              <w:t>$1,934.7M</w:t>
            </w:r>
          </w:p>
        </w:tc>
        <w:tc>
          <w:tcPr>
            <w:tcW w:type="dxa" w:w="1080"/>
          </w:tcPr>
          <w:p>
            <w:r>
              <w:rPr>
                <w:rFonts w:ascii="Calibri" w:hAnsi="Calibri"/>
                <w:sz w:val="22"/>
              </w:rPr>
              <w:t>−0.05%</w:t>
            </w:r>
          </w:p>
        </w:tc>
        <w:tc>
          <w:tcPr>
            <w:tcW w:type="dxa" w:w="1080"/>
          </w:tcPr>
          <w:p>
            <w:r>
              <w:rPr>
                <w:rFonts w:ascii="Calibri" w:hAnsi="Calibri"/>
                <w:sz w:val="22"/>
              </w:rPr>
              <w:t>$1,921–$1,941M ($1,931M midpt)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midpt</w:t>
            </w:r>
          </w:p>
        </w:tc>
      </w:tr>
      <w:tr>
        <w:tc>
          <w:tcPr>
            <w:tcW w:type="dxa" w:w="1080"/>
          </w:tcPr>
          <w:p>
            <w:r>
              <w:rPr>
                <w:rFonts w:ascii="Calibri" w:hAnsi="Calibri"/>
                <w:sz w:val="22"/>
              </w:rPr>
              <w:t>Dom. Organic Leasing Growth — Q2 2026</w:t>
            </w:r>
          </w:p>
        </w:tc>
        <w:tc>
          <w:tcPr>
            <w:tcW w:type="dxa" w:w="1080"/>
          </w:tcPr>
          <w:p>
            <w:r>
              <w:rPr>
                <w:rFonts w:ascii="Calibri" w:hAnsi="Calibri"/>
                <w:sz w:val="22"/>
              </w:rPr>
              <w:t>−3.18%</w:t>
            </w:r>
          </w:p>
        </w:tc>
        <w:tc>
          <w:tcPr>
            <w:tcW w:type="dxa" w:w="1080"/>
          </w:tcPr>
          <w:p>
            <w:r>
              <w:rPr>
                <w:rFonts w:ascii="Calibri" w:hAnsi="Calibri"/>
                <w:sz w:val="22"/>
              </w:rPr>
              <w:t>−2.98%</w:t>
            </w:r>
          </w:p>
        </w:tc>
        <w:tc>
          <w:tcPr>
            <w:tcW w:type="dxa" w:w="1080"/>
          </w:tcPr>
          <w:p>
            <w:r>
              <w:rPr>
                <w:rFonts w:ascii="Calibri" w:hAnsi="Calibri"/>
                <w:sz w:val="22"/>
              </w:rPr>
              <w:t>+0.2pp improvement</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b/>
          <w:color w:val="525866"/>
          <w:sz w:val="22"/>
        </w:rPr>
        <w:t xml:space="preserve">Commentary: </w:t>
      </w:r>
      <w:r>
        <w:rPr>
          <w:rFonts w:ascii="Calibri" w:hAnsi="Calibri"/>
          <w:i/>
          <w:color w:val="525866"/>
          <w:sz w:val="22"/>
        </w:rPr>
        <w:t>The near-zero estimate drift since the Q1 print reflects a market in a holding pattern — waiting for Q2 results to confirm whether the Verizon MLA ramp is translating into sequential domestic leasing improvement. The most important revision risk heading into the print is on interest expense: the July 23 IG notes offering (4.875–5.45% coupons) refinanced the secured term loan and revolver, and the net impact on 2026 AFFO guidance will be the primary driver of any post-print estimate revision. Source: Visible Alpha Consensus and Actuals Data (as-of date: May 4, 2026 for baseline; current as of August 2,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SBAC has declined ~16% since the Q1 2026 earnings date (April 29: $215.97 → August 2: ~$181), </w:t>
      </w:r>
      <w:r>
        <w:rPr>
          <w:rFonts w:ascii="Calibri" w:hAnsi="Calibri"/>
          <w:b/>
          <w:color w:val="525866"/>
          <w:sz w:val="22"/>
        </w:rPr>
        <w:t>sharply underperforming AMT (−3%) and CCI (−11%)</w:t>
      </w:r>
      <w:r>
        <w:rPr>
          <w:rFonts w:ascii="Calibri" w:hAnsi="Calibri"/>
          <w:color w:val="525866"/>
          <w:sz w:val="22"/>
        </w:rPr>
        <w:t xml:space="preserve"> over the same period. The underperformance is driven by multiple compression as take-private speculation faded, sector-wide rate sensitivity, and SBAC-specific concerns around domestic organic growth remaining negative. The stock's relative weakness vs. peers creates a lower-risk entry point heading into the print.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SBAC vs. AMT vs. CCI — Indexed to 100 at April 29, 2026 (Q1 2026 Earnings Date). Source: Stock Price Data (Yahoo Finance).</w:t>
      </w:r>
    </w:p>
    <w:p>
      <w:r>
        <w:rPr>
          <w:rFonts w:ascii="Calibri" w:hAnsi="Calibri"/>
          <w:b/>
          <w:color w:val="525866"/>
          <w:sz w:val="22"/>
        </w:rPr>
        <w:t>Key Events Marked on Chart:</w:t>
      </w:r>
    </w:p>
    <w:p>
      <w:pPr>
        <w:pStyle w:val="ListBullet"/>
        <w:ind w:left="360" w:hanging="360"/>
      </w:pPr>
      <w:r>
        <w:rPr>
          <w:rFonts w:ascii="Calibri" w:hAnsi="Calibri"/>
          <w:b/>
          <w:color w:val="525866"/>
          <w:sz w:val="22"/>
        </w:rPr>
        <w:t>May 18, 2026 — JP Morgan TMC Conference:</w:t>
      </w:r>
      <w:r>
        <w:rPr>
          <w:rFonts w:ascii="Calibri" w:hAnsi="Calibri"/>
          <w:color w:val="525866"/>
          <w:sz w:val="22"/>
        </w:rPr>
        <w:t xml:space="preserve"> CFO Montagner provided detailed carrier-by-carrier activity breakdown (Verizon most active, AT&amp;T generating no new business) and capital allocation framework. Stock was ~$203, roughly flat since earnings.</w:t>
      </w:r>
    </w:p>
    <w:p>
      <w:pPr>
        <w:pStyle w:val="ListBullet"/>
        <w:ind w:left="360" w:hanging="360"/>
      </w:pPr>
      <w:r>
        <w:rPr>
          <w:rFonts w:ascii="Calibri" w:hAnsi="Calibri"/>
          <w:b/>
          <w:color w:val="525866"/>
          <w:sz w:val="22"/>
        </w:rPr>
        <w:t>July 15, 2026 — $3.5B Senior Notes Priced:</w:t>
      </w:r>
      <w:r>
        <w:rPr>
          <w:rFonts w:ascii="Calibri" w:hAnsi="Calibri"/>
          <w:color w:val="525866"/>
          <w:sz w:val="22"/>
        </w:rPr>
        <w:t xml:space="preserve"> SBAC priced its inaugural investment-grade bond offering (4.875% 2030s, 5.15% 2031s, 5.45% 2033s). Stock was ~$187, down ~13% from earnings.</w:t>
      </w:r>
    </w:p>
    <w:p>
      <w:pPr>
        <w:pStyle w:val="ListBullet"/>
        <w:ind w:left="360" w:hanging="360"/>
      </w:pPr>
      <w:r>
        <w:rPr>
          <w:rFonts w:ascii="Calibri" w:hAnsi="Calibri"/>
          <w:b/>
          <w:color w:val="525866"/>
          <w:sz w:val="22"/>
        </w:rPr>
        <w:t>July 17, 2026 — Wells Fargo Upgrade:</w:t>
      </w:r>
      <w:r>
        <w:rPr>
          <w:rFonts w:ascii="Calibri" w:hAnsi="Calibri"/>
          <w:color w:val="525866"/>
          <w:sz w:val="22"/>
        </w:rPr>
        <w:t xml:space="preserve"> Wells Fargo upgraded SBAC to Overweight from Equal Weight. Stock was ~$185.</w:t>
      </w:r>
    </w:p>
    <w:p>
      <w:pPr>
        <w:pStyle w:val="ListBullet"/>
        <w:ind w:left="360" w:hanging="360"/>
      </w:pPr>
      <w:r>
        <w:rPr>
          <w:rFonts w:ascii="Calibri" w:hAnsi="Calibri"/>
          <w:b/>
          <w:color w:val="525866"/>
          <w:sz w:val="22"/>
        </w:rPr>
        <w:t>July 23, 2026 — Refinancing Closed:</w:t>
      </w:r>
      <w:r>
        <w:rPr>
          <w:rFonts w:ascii="Calibri" w:hAnsi="Calibri"/>
          <w:color w:val="525866"/>
          <w:sz w:val="22"/>
        </w:rPr>
        <w:t xml:space="preserve"> $3.5B notes offering closed; secured term loan and revolver repaid in full. New $2.5B unsecured revolving credit facility established. Stock was ~$175, down ~19% from earnings.</w:t>
      </w:r>
    </w:p>
    <w:p>
      <w:pPr>
        <w:pStyle w:val="ListBullet"/>
        <w:ind w:left="360" w:hanging="360"/>
      </w:pPr>
      <w:r>
        <w:rPr>
          <w:rFonts w:ascii="Calibri" w:hAnsi="Calibri"/>
          <w:b/>
          <w:color w:val="525866"/>
          <w:sz w:val="22"/>
        </w:rPr>
        <w:t>July 28–29, 2026 — AMT Q2 2026 Earnings:</w:t>
      </w:r>
      <w:r>
        <w:rPr>
          <w:rFonts w:ascii="Calibri" w:hAnsi="Calibri"/>
          <w:color w:val="525866"/>
          <w:sz w:val="22"/>
        </w:rPr>
        <w:t xml:space="preserve"> AMT reported Q2 beat-and-raise; stock jumped ~+4% on July 29 ($171.50 → $179.26). SBAC also rallied +6.5% on the same day ($174.93 → $186.29), suggesting strong read-through from AMT's constructive commentary on US tower leasing trends.</w:t>
      </w:r>
    </w:p>
    <w:p>
      <w:r>
        <w:rPr>
          <w:rFonts w:ascii="Calibri" w:hAnsi="Calibri"/>
          <w:b/>
          <w:color w:val="525866"/>
          <w:sz w:val="22"/>
        </w:rPr>
        <w:t>Performance Summary (April 29 → August 2,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Name</w:t>
            </w:r>
          </w:p>
        </w:tc>
        <w:tc>
          <w:tcPr>
            <w:tcW w:type="dxa" w:w="2160"/>
            <w:shd w:val="clear" w:color="auto" w:fill="3B4259"/>
          </w:tcPr>
          <w:p>
            <w:r>
              <w:rPr>
                <w:rFonts w:ascii="Calibri" w:hAnsi="Calibri"/>
                <w:b/>
                <w:color w:val="FFFFFF"/>
                <w:sz w:val="22"/>
              </w:rPr>
              <w:t>Apr 29 Close</w:t>
            </w:r>
          </w:p>
        </w:tc>
        <w:tc>
          <w:tcPr>
            <w:tcW w:type="dxa" w:w="2160"/>
            <w:shd w:val="clear" w:color="auto" w:fill="3B4259"/>
          </w:tcPr>
          <w:p>
            <w:r>
              <w:rPr>
                <w:rFonts w:ascii="Calibri" w:hAnsi="Calibri"/>
                <w:b/>
                <w:color w:val="FFFFFF"/>
                <w:sz w:val="22"/>
              </w:rPr>
              <w:t>Aug 2 Close</w:t>
            </w:r>
          </w:p>
        </w:tc>
        <w:tc>
          <w:tcPr>
            <w:tcW w:type="dxa" w:w="2160"/>
            <w:shd w:val="clear" w:color="auto" w:fill="3B4259"/>
          </w:tcPr>
          <w:p>
            <w:r>
              <w:rPr>
                <w:rFonts w:ascii="Calibri" w:hAnsi="Calibri"/>
                <w:b/>
                <w:color w:val="FFFFFF"/>
                <w:sz w:val="22"/>
              </w:rPr>
              <w:t>Return</w:t>
            </w:r>
          </w:p>
        </w:tc>
      </w:tr>
      <w:tr>
        <w:tc>
          <w:tcPr>
            <w:tcW w:type="dxa" w:w="2160"/>
          </w:tcPr>
          <w:p>
            <w:r>
              <w:rPr>
                <w:rFonts w:ascii="Calibri" w:hAnsi="Calibri"/>
                <w:sz w:val="22"/>
              </w:rPr>
              <w:t>SBAC</w:t>
            </w:r>
          </w:p>
        </w:tc>
        <w:tc>
          <w:tcPr>
            <w:tcW w:type="dxa" w:w="2160"/>
          </w:tcPr>
          <w:p>
            <w:r>
              <w:rPr>
                <w:rFonts w:ascii="Calibri" w:hAnsi="Calibri"/>
                <w:sz w:val="22"/>
              </w:rPr>
              <w:t>$215.97</w:t>
            </w:r>
          </w:p>
        </w:tc>
        <w:tc>
          <w:tcPr>
            <w:tcW w:type="dxa" w:w="2160"/>
          </w:tcPr>
          <w:p>
            <w:r>
              <w:rPr>
                <w:rFonts w:ascii="Calibri" w:hAnsi="Calibri"/>
                <w:sz w:val="22"/>
              </w:rPr>
              <w:t>$180.98</w:t>
            </w:r>
          </w:p>
        </w:tc>
        <w:tc>
          <w:tcPr>
            <w:tcW w:type="dxa" w:w="2160"/>
          </w:tcPr>
          <w:p>
            <w:r>
              <w:rPr>
                <w:rFonts w:ascii="Calibri" w:hAnsi="Calibri"/>
                <w:b/>
                <w:color w:val="E5484D"/>
                <w:sz w:val="22"/>
              </w:rPr>
              <w:t>−16.2%</w:t>
            </w:r>
          </w:p>
        </w:tc>
      </w:tr>
      <w:tr>
        <w:tc>
          <w:tcPr>
            <w:tcW w:type="dxa" w:w="2160"/>
          </w:tcPr>
          <w:p>
            <w:r>
              <w:rPr>
                <w:rFonts w:ascii="Calibri" w:hAnsi="Calibri"/>
                <w:sz w:val="22"/>
              </w:rPr>
              <w:t>AMT</w:t>
            </w:r>
          </w:p>
        </w:tc>
        <w:tc>
          <w:tcPr>
            <w:tcW w:type="dxa" w:w="2160"/>
          </w:tcPr>
          <w:p>
            <w:r>
              <w:rPr>
                <w:rFonts w:ascii="Calibri" w:hAnsi="Calibri"/>
                <w:sz w:val="22"/>
              </w:rPr>
              <w:t>$178.19</w:t>
            </w:r>
          </w:p>
        </w:tc>
        <w:tc>
          <w:tcPr>
            <w:tcW w:type="dxa" w:w="2160"/>
          </w:tcPr>
          <w:p>
            <w:r>
              <w:rPr>
                <w:rFonts w:ascii="Calibri" w:hAnsi="Calibri"/>
                <w:sz w:val="22"/>
              </w:rPr>
              <w:t>$173.36</w:t>
            </w:r>
          </w:p>
        </w:tc>
        <w:tc>
          <w:tcPr>
            <w:tcW w:type="dxa" w:w="2160"/>
          </w:tcPr>
          <w:p>
            <w:r>
              <w:rPr>
                <w:rFonts w:ascii="Calibri" w:hAnsi="Calibri"/>
                <w:sz w:val="22"/>
              </w:rPr>
              <w:t>−2.7%</w:t>
            </w:r>
          </w:p>
        </w:tc>
      </w:tr>
      <w:tr>
        <w:tc>
          <w:tcPr>
            <w:tcW w:type="dxa" w:w="2160"/>
          </w:tcPr>
          <w:p>
            <w:r>
              <w:rPr>
                <w:rFonts w:ascii="Calibri" w:hAnsi="Calibri"/>
                <w:sz w:val="22"/>
              </w:rPr>
              <w:t>CCI</w:t>
            </w:r>
          </w:p>
        </w:tc>
        <w:tc>
          <w:tcPr>
            <w:tcW w:type="dxa" w:w="2160"/>
          </w:tcPr>
          <w:p>
            <w:r>
              <w:rPr>
                <w:rFonts w:ascii="Calibri" w:hAnsi="Calibri"/>
                <w:sz w:val="22"/>
              </w:rPr>
              <w:t>$85.87</w:t>
            </w:r>
          </w:p>
        </w:tc>
        <w:tc>
          <w:tcPr>
            <w:tcW w:type="dxa" w:w="2160"/>
          </w:tcPr>
          <w:p>
            <w:r>
              <w:rPr>
                <w:rFonts w:ascii="Calibri" w:hAnsi="Calibri"/>
                <w:sz w:val="22"/>
              </w:rPr>
              <w:t>$76.30</w:t>
            </w:r>
          </w:p>
        </w:tc>
        <w:tc>
          <w:tcPr>
            <w:tcW w:type="dxa" w:w="2160"/>
          </w:tcPr>
          <w:p>
            <w:r>
              <w:rPr>
                <w:rFonts w:ascii="Calibri" w:hAnsi="Calibri"/>
                <w:b/>
                <w:color w:val="E5484D"/>
                <w:sz w:val="22"/>
              </w:rPr>
              <w:t>−11.1%</w:t>
            </w:r>
          </w:p>
        </w:tc>
      </w:tr>
    </w:tbl>
    <w:p>
      <w:r>
        <w:rPr>
          <w:rFonts w:ascii="Calibri" w:hAnsi="Calibri"/>
          <w:i/>
          <w:color w:val="525866"/>
          <w:sz w:val="22"/>
        </w:rPr>
        <w:t>Source: Stock Price Data (Yahoo Finance). Sector ETF proxy: AMT and CCI used as tower REIT sub-sector benchmarks (no single-sector ETF perfectly captures the pure-play tower REIT sub-sector; REM/VNQ are too broad).</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completion of SBAC's $3.5B inaugural investment-grade bond offering on July 23</w:t>
      </w:r>
      <w:r>
        <w:rPr>
          <w:rFonts w:ascii="Calibri" w:hAnsi="Calibri"/>
          <w:color w:val="525866"/>
          <w:sz w:val="22"/>
        </w:rPr>
        <w:t xml:space="preserve"> — a structural milestone that eliminates secured debt, lowers the cost of capital, and will drive a meaningful update to 2026 interest expense and AFFO guidance on the Q2 call.</w:t>
      </w:r>
    </w:p>
    <w:p>
      <w:pPr>
        <w:pStyle w:val="ListBullet"/>
        <w:ind w:left="360" w:hanging="360"/>
      </w:pPr>
      <w:r>
        <w:rPr>
          <w:rFonts w:ascii="Calibri" w:hAnsi="Calibri"/>
          <w:b/>
          <w:color w:val="525866"/>
          <w:sz w:val="22"/>
        </w:rPr>
        <w:t>July 23–24, 2026 — $3.5B Investment-Grade Notes Offering Completed (8-K):</w:t>
      </w:r>
      <w:r>
        <w:rPr>
          <w:rFonts w:ascii="Calibri" w:hAnsi="Calibri"/>
          <w:color w:val="525866"/>
          <w:sz w:val="22"/>
        </w:rPr>
        <w:t xml:space="preserve"> SBAC closed its inaugural IG bond offering: $1.35B at 4.875% due 2030, $1.35B at 5.15% due 2031, $800M at 5.45% due 2033. Proceeds used to repay in full the $2.3B secured term loan (due Jan 2031) and outstanding revolver borrowings. Simultaneously, SBAC entered a new $2.5B senior unsecured revolving credit facility (due July 2031) with Wells Fargo as agent. The prior $2.0B secured revolver was terminated. </w:t>
      </w:r>
    </w:p>
    <w:p>
      <w:pPr>
        <w:pStyle w:val="ListBullet"/>
        <w:ind w:left="360" w:hanging="360"/>
      </w:pPr>
      <w:r>
        <w:rPr>
          <w:rFonts w:ascii="Calibri" w:hAnsi="Calibri"/>
          <w:b/>
          <w:color w:val="525866"/>
          <w:sz w:val="22"/>
        </w:rPr>
        <w:t>Implication:</w:t>
      </w:r>
      <w:r>
        <w:rPr>
          <w:rFonts w:ascii="Calibri" w:hAnsi="Calibri"/>
          <w:color w:val="525866"/>
          <w:sz w:val="22"/>
        </w:rPr>
        <w:t xml:space="preserve"> This is the most significant capital structure event since the Millicom acquisition. SBAC is now fully unsecured at the corporate level, consistent with its investment-grade status at S&amp;P and Fitch. The net interest expense impact vs. prior guidance ($492–$500M) will be the key Q2 call disclosure — the new notes carry higher coupons than the prior secured term loan but eliminate the secured structure premium. Management will likely update AFFO guidance accordingly.</w:t>
      </w:r>
    </w:p>
    <w:p>
      <w:pPr>
        <w:pStyle w:val="ListBullet"/>
        <w:ind w:left="360" w:hanging="360"/>
      </w:pPr>
      <w:r>
        <w:rPr>
          <w:rFonts w:ascii="Calibri" w:hAnsi="Calibri"/>
          <w:b/>
          <w:color w:val="525866"/>
          <w:sz w:val="22"/>
        </w:rPr>
        <w:t>July 17, 2026 — Wells Fargo Upgrades SBAC to Overweight (from Equal Weight):</w:t>
      </w:r>
      <w:r>
        <w:rPr>
          <w:rFonts w:ascii="Calibri" w:hAnsi="Calibri"/>
          <w:color w:val="525866"/>
          <w:sz w:val="22"/>
        </w:rPr>
        <w:t xml:space="preserve"> First analyst upgrade since the Q1 print. Likely reflects the IG transition milestone and the stock's ~16% pullback from earnings creating a more attractive entry point. Source: Analyst Rating Change Data (FMP).</w:t>
      </w:r>
    </w:p>
    <w:p>
      <w:pPr>
        <w:pStyle w:val="ListBullet"/>
        <w:ind w:left="360" w:hanging="360"/>
      </w:pPr>
      <w:r>
        <w:rPr>
          <w:rFonts w:ascii="Calibri" w:hAnsi="Calibri"/>
          <w:b/>
          <w:color w:val="525866"/>
          <w:sz w:val="22"/>
        </w:rPr>
        <w:t>May 18, 2026 — JP Morgan TMC Conference (CFO Montagner):</w:t>
      </w:r>
      <w:r>
        <w:rPr>
          <w:rFonts w:ascii="Calibri" w:hAnsi="Calibri"/>
          <w:color w:val="525866"/>
          <w:sz w:val="22"/>
        </w:rPr>
        <w:t xml:space="preserve"> CFO provided explicit carrier-by-carrier characterization: Verizon is the most active carrier in 2026 (following Nov 2025 MLA); T-Mobile stepped down from 2025 peak; AT&amp;T generating no new business under its 2023 MLA (valid through mid-2028). Long-term US organic growth framework reiterated at 4.5–5.0%. Capital allocation waterfall disclosed: ~$600M annual excess free cash flow available for M&amp;A, debt paydown, or buybacks. Dividend growth guided at low-teens for next ~3 years.</w:t>
      </w:r>
    </w:p>
    <w:p>
      <w:pPr>
        <w:pStyle w:val="ListBullet"/>
        <w:ind w:left="360" w:hanging="360"/>
      </w:pPr>
      <w:r>
        <w:rPr>
          <w:rFonts w:ascii="Calibri" w:hAnsi="Calibri"/>
          <w:b/>
          <w:color w:val="525866"/>
          <w:sz w:val="22"/>
        </w:rPr>
        <w:t>May 18, 2026 — EchoStar/DISH Escrow Update:</w:t>
      </w:r>
      <w:r>
        <w:rPr>
          <w:rFonts w:ascii="Calibri" w:hAnsi="Calibri"/>
          <w:color w:val="525866"/>
          <w:sz w:val="22"/>
        </w:rPr>
        <w:t xml:space="preserve"> CFO confirmed SBAC's total exposure (unpaid leases + future commitments) is ~$100M. FCC approval of EchoStar spectrum sale to AT&amp;T included a $2.4B escrow account for vendor claims. SBAC views this as a constructive recovery mechanism but noted any payment requires settlement or judicial approval. </w:t>
      </w:r>
    </w:p>
    <w:p>
      <w:pPr>
        <w:pStyle w:val="ListBullet"/>
        <w:ind w:left="360" w:hanging="360"/>
      </w:pPr>
      <w:r>
        <w:rPr>
          <w:rFonts w:ascii="Calibri" w:hAnsi="Calibri"/>
          <w:b/>
          <w:color w:val="525866"/>
          <w:sz w:val="22"/>
        </w:rPr>
        <w:t>Implication:</w:t>
      </w:r>
      <w:r>
        <w:rPr>
          <w:rFonts w:ascii="Calibri" w:hAnsi="Calibri"/>
          <w:color w:val="525866"/>
          <w:sz w:val="22"/>
        </w:rPr>
        <w:t xml:space="preserve"> Potential $100M recovery is not in guidance; any settlement or court-approved payment would be pure upside to AFFO.</w:t>
      </w:r>
    </w:p>
    <w:p>
      <w:pPr>
        <w:pStyle w:val="ListBullet"/>
        <w:ind w:left="360" w:hanging="360"/>
      </w:pPr>
      <w:r>
        <w:rPr>
          <w:rFonts w:ascii="Calibri" w:hAnsi="Calibri"/>
          <w:b/>
          <w:color w:val="525866"/>
          <w:sz w:val="22"/>
        </w:rPr>
        <w:t>April 29, 2026 — Q1 2026 Beat-and-Raise:</w:t>
      </w:r>
      <w:r>
        <w:rPr>
          <w:rFonts w:ascii="Calibri" w:hAnsi="Calibri"/>
          <w:color w:val="525866"/>
          <w:sz w:val="22"/>
        </w:rPr>
        <w:t xml:space="preserve"> SBAC beat Q1 consensus on both revenue ($703.4M vs. $697.3M est.) and AFFO/share ($3.01 vs. $3.00 est.). Full-year 2026 guidance raised across all metrics. Domestic leasing backlogs increased moderately. Millicom integration tracking ahead of schedule with colocation demand exceeding initial projections. Guatemala land purchase completed at ~7x multiple.</w:t>
      </w:r>
    </w:p>
    <w:p>
      <w:pPr>
        <w:pStyle w:val="ListBullet"/>
        <w:ind w:left="360" w:hanging="360"/>
      </w:pPr>
      <w:r>
        <w:rPr>
          <w:rFonts w:ascii="Calibri" w:hAnsi="Calibri"/>
          <w:b/>
          <w:color w:val="525866"/>
          <w:sz w:val="22"/>
        </w:rPr>
        <w:t>Ongoing — Take-Private Speculation:</w:t>
      </w:r>
      <w:r>
        <w:rPr>
          <w:rFonts w:ascii="Calibri" w:hAnsi="Calibri"/>
          <w:color w:val="525866"/>
          <w:sz w:val="22"/>
        </w:rPr>
        <w:t xml:space="preserve"> Reports from early April 2026 named KKR and Brookfield as interested parties at ~$250/share (~mid-40s% premium to pre-rumor price). CEO Cavanagh declined to comment on Q1 call, citing company policy. Stock has since declined ~16% from the post-speculation high, suggesting the market has largely priced out a near-term deal. Any re-emergence of deal commentary would be a significant catalyst.</w:t>
      </w:r>
    </w:p>
    <w:p>
      <w:pPr>
        <w:pStyle w:val="ListBullet"/>
        <w:ind w:left="360" w:hanging="360"/>
      </w:pPr>
      <w:r>
        <w:rPr>
          <w:rFonts w:ascii="Calibri" w:hAnsi="Calibri"/>
          <w:b/>
          <w:color w:val="525866"/>
          <w:sz w:val="22"/>
        </w:rPr>
        <w:t>Ongoing — 6G Spectrum Pipeline:</w:t>
      </w:r>
      <w:r>
        <w:rPr>
          <w:rFonts w:ascii="Calibri" w:hAnsi="Calibri"/>
          <w:color w:val="525866"/>
          <w:sz w:val="22"/>
        </w:rPr>
        <w:t xml:space="preserve"> The One Big Beautiful Bill (signed July 2025) restored FCC auction authority and mandated 800MHz of new spectrum to be auctioned, including 100MHz of upper C-band by mid-2027. Management views this as a multi-year tower leasing catalyst beginning in 2027–2028. CCI's Q2 2026 earnings (July 22) confirmed the FCC announced bridging of lower and upper C-band to 4.14GHz, extending 5G life and promoting densification.</w:t>
      </w:r>
    </w:p>
    <w:p>
      <w:pPr>
        <w:pStyle w:val="ListBullet"/>
        <w:ind w:left="360" w:hanging="360"/>
      </w:pPr>
      <w:r>
        <w:rPr>
          <w:rFonts w:ascii="Calibri" w:hAnsi="Calibri"/>
          <w:b/>
          <w:color w:val="525866"/>
          <w:sz w:val="22"/>
        </w:rPr>
        <w:t>Ongoing — Mobile Edge Computing Trials:</w:t>
      </w:r>
      <w:r>
        <w:rPr>
          <w:rFonts w:ascii="Calibri" w:hAnsi="Calibri"/>
          <w:color w:val="525866"/>
          <w:sz w:val="22"/>
        </w:rPr>
        <w:t xml:space="preserve"> SBAC has deployed a small number of edge data center trials at tower sites. Management cited AI inference and low-latency requirements as demand drivers. CFO noted uncertainty around whether inference demand requires compute at the tower base vs. a nearby metro facility. Financial impact immaterial near-term but a growing focus area.</w:t>
      </w:r>
    </w:p>
    <w:p>
      <w:r>
        <w:br w:type="page"/>
      </w:r>
    </w:p>
    <w:p>
      <w:pPr>
        <w:pStyle w:val="Heading2"/>
      </w:pPr>
      <w:r>
        <w:rPr>
          <w:rFonts w:ascii="Calibri" w:hAnsi="Calibri"/>
          <w:b/>
          <w:color w:val="3B4259"/>
          <w:sz w:val="28"/>
        </w:rPr>
        <w:t>7. Peer Commentaries — Read-Through for SBAC Q2 2026</w:t>
      </w:r>
    </w:p>
    <w:p>
      <w:r>
        <w:rPr>
          <w:rFonts w:ascii="Calibri" w:hAnsi="Calibri"/>
          <w:b/>
          <w:color w:val="525866"/>
          <w:sz w:val="22"/>
        </w:rPr>
        <w:t xml:space="preserve">Key Takeaway: </w:t>
      </w:r>
      <w:r>
        <w:rPr>
          <w:rFonts w:ascii="Calibri" w:hAnsi="Calibri"/>
          <w:color w:val="525866"/>
          <w:sz w:val="22"/>
        </w:rPr>
        <w:t xml:space="preserve">Both AMT (Q2 2026 earnings, July 28) and CCI (Q2 2026 earnings, July 22) reported results and commentary directly relevant to SBAC's Q2 setup. </w:t>
      </w:r>
      <w:r>
        <w:rPr>
          <w:rFonts w:ascii="Calibri" w:hAnsi="Calibri"/>
          <w:b/>
          <w:color w:val="525866"/>
          <w:sz w:val="22"/>
        </w:rPr>
        <w:t>AMT's beat-and-raise and constructive US leasing commentary is the strongest positive read-through</w:t>
      </w:r>
      <w:r>
        <w:rPr>
          <w:rFonts w:ascii="Calibri" w:hAnsi="Calibri"/>
          <w:color w:val="525866"/>
          <w:sz w:val="22"/>
        </w:rPr>
        <w:t xml:space="preserve"> — SBAC's +6.5% rally on AMT's earnings day (July 29) confirms the market sees it as a direct signal. CCI's services revenue pullback and carrier activity softness is a modest negative read-through for SBAC's services segment.</w:t>
      </w:r>
    </w:p>
    <w:p>
      <w:r>
        <w:rPr>
          <w:rFonts w:ascii="Calibri" w:hAnsi="Calibri"/>
          <w:i/>
          <w:color w:val="525866"/>
          <w:sz w:val="22"/>
        </w:rPr>
        <w:t xml:space="preserve">Note on peer selection: </w:t>
      </w:r>
      <w:r>
        <w:rPr>
          <w:rFonts w:ascii="Calibri" w:hAnsi="Calibri"/>
          <w:i/>
          <w:color w:val="525866"/>
          <w:sz w:val="22"/>
        </w:rPr>
        <w:t>Only commentary from Q2 2026 earnings calls and Q2 2026-period conferences (i.e., commentary about the current reporting quarter or the forward outlook after Q1 2025 earnings) is included below. Q1 2026 earnings commentary from peers about their own Q1 results is excluded.</w:t>
      </w:r>
    </w:p>
    <w:p>
      <w:pPr>
        <w:pStyle w:val="Heading3"/>
      </w:pPr>
      <w:r>
        <w:rPr>
          <w:rFonts w:ascii="Calibri" w:hAnsi="Calibri"/>
          <w:b/>
          <w:color w:val="3B4259"/>
          <w:sz w:val="24"/>
        </w:rPr>
        <w:t>American Tower (AMT) — Q2 2026 Earnings Call (July 28, 2026)</w:t>
      </w:r>
    </w:p>
    <w:p>
      <w:r>
        <w:rPr>
          <w:rFonts w:ascii="Calibri" w:hAnsi="Calibri"/>
          <w:b/>
          <w:color w:val="525866"/>
          <w:sz w:val="22"/>
        </w:rPr>
        <w:t xml:space="preserve">Relevance: </w:t>
      </w:r>
      <w:r>
        <w:rPr>
          <w:rFonts w:ascii="Calibri" w:hAnsi="Calibri"/>
          <w:color w:val="525866"/>
          <w:sz w:val="22"/>
        </w:rPr>
        <w:t>AMT is SBAC's closest global tower peer. AMT's Q2 2026 results and raised guidance are the most direct read-through for SBAC's Q2 print. SBAC rallied +6.5% on July 29 (the day after AMT reported), confirming strong market read-through.</w:t>
      </w:r>
    </w:p>
    <w:p>
      <w:pPr>
        <w:pStyle w:val="ListBullet"/>
        <w:ind w:left="360" w:hanging="360"/>
      </w:pPr>
      <w:r>
        <w:rPr>
          <w:rFonts w:ascii="Calibri" w:hAnsi="Calibri"/>
          <w:b/>
          <w:color w:val="525866"/>
          <w:sz w:val="22"/>
        </w:rPr>
        <w:t>US Organic Growth Inflecting Toward Densification:</w:t>
      </w:r>
      <w:r>
        <w:rPr>
          <w:rFonts w:ascii="Calibri" w:hAnsi="Calibri"/>
          <w:color w:val="525866"/>
          <w:sz w:val="22"/>
        </w:rPr>
        <w:t xml:space="preserve"> AMT reported US &amp; Canada organic growth of nearly 1% in Q2 2026 (or ~5% ex-DISH churn), consistent with mid-single-digit durable growth expectations. Critically, AMT noted a shift in the composition of new business: "less coming in from amendments, more coming in from new co-locations" — a trend AMT expects to continue. </w:t>
      </w:r>
    </w:p>
    <w:p>
      <w:pPr>
        <w:pStyle w:val="ListBullet"/>
        <w:ind w:left="360" w:hanging="360"/>
      </w:pPr>
      <w:r>
        <w:rPr>
          <w:rFonts w:ascii="Calibri" w:hAnsi="Calibri"/>
          <w:b/>
          <w:color w:val="525866"/>
          <w:sz w:val="22"/>
        </w:rPr>
        <w:t>SBAC Read-Through:</w:t>
      </w:r>
      <w:r>
        <w:rPr>
          <w:rFonts w:ascii="Calibri" w:hAnsi="Calibri"/>
          <w:color w:val="525866"/>
          <w:sz w:val="22"/>
        </w:rPr>
        <w:t xml:space="preserve"> SBAC's domestic organic growth has been running at −3% (heavily impacted by Sprint/EchoStar churn). AMT's commentary that underlying new colocation activity is healthy and accelerating is constructive for SBAC's leasing backlog trajectory. If SBAC's churn headwinds are truly peaking in 2026, the underlying new business rate should become more visible in 2H 2026.</w:t>
      </w:r>
    </w:p>
    <w:p>
      <w:pPr>
        <w:pStyle w:val="ListBullet"/>
        <w:ind w:left="360" w:hanging="360"/>
      </w:pPr>
      <w:r>
        <w:rPr>
          <w:rFonts w:ascii="Calibri" w:hAnsi="Calibri"/>
          <w:b/>
          <w:color w:val="525866"/>
          <w:sz w:val="22"/>
        </w:rPr>
        <w:t>2026 is a "Trough Year" for AFFO/Share Growth:</w:t>
      </w:r>
      <w:r>
        <w:rPr>
          <w:rFonts w:ascii="Calibri" w:hAnsi="Calibri"/>
          <w:color w:val="525866"/>
          <w:sz w:val="22"/>
        </w:rPr>
        <w:t xml:space="preserve"> AMT explicitly called 2026 a "trough year" for attributable AFFO/share growth, citing three non-recurring headwinds: DISH churn (~400bps), debt refinancing (~150bps), and services step-down (~100bps). Normalizing for these, AMT would be at ~7% AFFO/share growth on an FX-neutral basis.</w:t>
      </w:r>
    </w:p>
    <w:p>
      <w:pPr>
        <w:pStyle w:val="ListBullet"/>
        <w:ind w:left="360" w:hanging="360"/>
      </w:pPr>
      <w:r>
        <w:rPr>
          <w:rFonts w:ascii="Calibri" w:hAnsi="Calibri"/>
          <w:b/>
          <w:color w:val="525866"/>
          <w:sz w:val="22"/>
        </w:rPr>
        <w:t>SBAC Read-Through:</w:t>
      </w:r>
      <w:r>
        <w:rPr>
          <w:rFonts w:ascii="Calibri" w:hAnsi="Calibri"/>
          <w:color w:val="525866"/>
          <w:sz w:val="22"/>
        </w:rPr>
        <w:t xml:space="preserve"> SBAC faces the same structural headwinds (Sprint/EchoStar churn, refinancing costs). AMT's framing of 2026 as a trough with a "meaningful inflection" expected in 2027 validates SBAC management's own multi-year framing of high-single-digit AFFO/share growth by 2028–2029 as churn normalizes.</w:t>
      </w:r>
    </w:p>
    <w:p>
      <w:pPr>
        <w:pStyle w:val="ListBullet"/>
        <w:ind w:left="360" w:hanging="360"/>
      </w:pPr>
      <w:r>
        <w:rPr>
          <w:rFonts w:ascii="Calibri" w:hAnsi="Calibri"/>
          <w:b/>
          <w:color w:val="525866"/>
          <w:sz w:val="22"/>
        </w:rPr>
        <w:t>Beat-and-Raise on Revenue and AFFO:</w:t>
      </w:r>
      <w:r>
        <w:rPr>
          <w:rFonts w:ascii="Calibri" w:hAnsi="Calibri"/>
          <w:color w:val="525866"/>
          <w:sz w:val="22"/>
        </w:rPr>
        <w:t xml:space="preserve"> AMT raised its property revenue outlook by $110M at the midpoint (+1%), Adj. EBITDA by $45M (+1%), and attributable AFFO by $0.09/share (+1%). Drivers: $35M FX tailwinds, $25M data center outperformance, $65M from other items (pass-through, straight-line). Refinancing headwind increased to ~150bps from ~100bps.</w:t>
      </w:r>
    </w:p>
    <w:p>
      <w:pPr>
        <w:pStyle w:val="ListBullet"/>
        <w:ind w:left="360" w:hanging="360"/>
      </w:pPr>
      <w:r>
        <w:rPr>
          <w:rFonts w:ascii="Calibri" w:hAnsi="Calibri"/>
          <w:b/>
          <w:color w:val="525866"/>
          <w:sz w:val="22"/>
        </w:rPr>
        <w:t>SBAC Read-Through:</w:t>
      </w:r>
      <w:r>
        <w:rPr>
          <w:rFonts w:ascii="Calibri" w:hAnsi="Calibri"/>
          <w:color w:val="525866"/>
          <w:sz w:val="22"/>
        </w:rPr>
        <w:t xml:space="preserve"> FX tailwinds benefited AMT's international portfolio; SBAC has similar international exposure (Brazil, Central America). If FX rates remained favorable through Q2 (BRL/USD at ~5.05 as assumed in SBAC's guidance), SBAC's international revenue could also benefit. The refinancing headwind increase at AMT is a mild negative read-through for SBAC's own IG notes offering impact.</w:t>
      </w:r>
    </w:p>
    <w:p>
      <w:pPr>
        <w:pStyle w:val="ListBullet"/>
        <w:ind w:left="360" w:hanging="360"/>
      </w:pPr>
      <w:r>
        <w:rPr>
          <w:rFonts w:ascii="Calibri" w:hAnsi="Calibri"/>
          <w:b/>
          <w:color w:val="525866"/>
          <w:sz w:val="22"/>
        </w:rPr>
        <w:t>Carrier Activity: Steady Investment Phase, Densification Accelerating:</w:t>
      </w:r>
      <w:r>
        <w:rPr>
          <w:rFonts w:ascii="Calibri" w:hAnsi="Calibri"/>
          <w:color w:val="525866"/>
          <w:sz w:val="22"/>
        </w:rPr>
        <w:t xml:space="preserve"> AMT described carriers as being in a "steady investment phase" with "nothing concerning" on the cadence of builds. New business contribution expected at ~250bps in 2026, consistent with prior year ex-DISH. The industry is entering the next phase of 5G — shifting from coverage to capacity — requiring "meaningful network densification."</w:t>
      </w:r>
    </w:p>
    <w:p>
      <w:pPr>
        <w:pStyle w:val="ListBullet"/>
        <w:ind w:left="360" w:hanging="360"/>
      </w:pPr>
      <w:r>
        <w:rPr>
          <w:rFonts w:ascii="Calibri" w:hAnsi="Calibri"/>
          <w:b/>
          <w:color w:val="525866"/>
          <w:sz w:val="22"/>
        </w:rPr>
        <w:t>SBAC Read-Through:</w:t>
      </w:r>
      <w:r>
        <w:rPr>
          <w:rFonts w:ascii="Calibri" w:hAnsi="Calibri"/>
          <w:color w:val="525866"/>
          <w:sz w:val="22"/>
        </w:rPr>
        <w:t xml:space="preserve"> Directly validates SBAC's own commentary that Verizon is its most active carrier in 2026 and that domestic backlogs are building. The densification theme supports SBAC's long-term 4.5–5% US organic growth framework.</w:t>
      </w:r>
    </w:p>
    <w:p>
      <w:pPr>
        <w:pStyle w:val="ListBullet"/>
        <w:ind w:left="360" w:hanging="360"/>
      </w:pPr>
      <w:r>
        <w:rPr>
          <w:rFonts w:ascii="Calibri" w:hAnsi="Calibri"/>
          <w:b/>
          <w:color w:val="525866"/>
          <w:sz w:val="22"/>
        </w:rPr>
        <w:t>800MHz Spectrum Pipeline / 6G:</w:t>
      </w:r>
      <w:r>
        <w:rPr>
          <w:rFonts w:ascii="Calibri" w:hAnsi="Calibri"/>
          <w:color w:val="525866"/>
          <w:sz w:val="22"/>
        </w:rPr>
        <w:t xml:space="preserve"> AMT highlighted ~800MHz of new mobile spectrum expected to become available over the next few years, starting with upper C-band in 2027. Higher-frequency 6G spectrum (6–8 GHz range) "will absolutely go on towers" and will require more densification. AMT views towers as "the backbone of 6G."</w:t>
      </w:r>
    </w:p>
    <w:p>
      <w:pPr>
        <w:pStyle w:val="ListBullet"/>
        <w:ind w:left="360" w:hanging="360"/>
      </w:pPr>
      <w:r>
        <w:rPr>
          <w:rFonts w:ascii="Calibri" w:hAnsi="Calibri"/>
          <w:b/>
          <w:color w:val="525866"/>
          <w:sz w:val="22"/>
        </w:rPr>
        <w:t>SBAC Read-Through:</w:t>
      </w:r>
      <w:r>
        <w:rPr>
          <w:rFonts w:ascii="Calibri" w:hAnsi="Calibri"/>
          <w:color w:val="525866"/>
          <w:sz w:val="22"/>
        </w:rPr>
        <w:t xml:space="preserve"> Consistent with SBAC management's own 6G commentary. Validates the multi-year leasing catalyst thesis that underpins SBAC's long-term growth algorithm.</w:t>
      </w:r>
    </w:p>
    <w:p>
      <w:pPr>
        <w:pStyle w:val="ListBullet"/>
        <w:ind w:left="360" w:hanging="360"/>
      </w:pPr>
      <w:r>
        <w:rPr>
          <w:rFonts w:ascii="Calibri" w:hAnsi="Calibri"/>
          <w:b/>
          <w:color w:val="525866"/>
          <w:sz w:val="22"/>
        </w:rPr>
        <w:t>Services Revenue Maintained at $245M:</w:t>
      </w:r>
      <w:r>
        <w:rPr>
          <w:rFonts w:ascii="Calibri" w:hAnsi="Calibri"/>
          <w:color w:val="525866"/>
          <w:sz w:val="22"/>
        </w:rPr>
        <w:t xml:space="preserve"> AMT maintained its 2026 services revenue outlook at $245M despite a step-down from $340M in 2025. Services are "slightly front-end loaded" with a small step-down expected in 2H 2026.</w:t>
      </w:r>
    </w:p>
    <w:p>
      <w:pPr>
        <w:pStyle w:val="ListBullet"/>
        <w:ind w:left="360" w:hanging="360"/>
      </w:pPr>
      <w:r>
        <w:rPr>
          <w:rFonts w:ascii="Calibri" w:hAnsi="Calibri"/>
          <w:b/>
          <w:color w:val="525866"/>
          <w:sz w:val="22"/>
        </w:rPr>
        <w:t>SBAC Read-Through:</w:t>
      </w:r>
      <w:r>
        <w:rPr>
          <w:rFonts w:ascii="Calibri" w:hAnsi="Calibri"/>
          <w:color w:val="525866"/>
          <w:sz w:val="22"/>
        </w:rPr>
        <w:t xml:space="preserve"> SBAC's services guidance of $190–$210M is already conservative. AMT's maintained outlook suggests the services market is not deteriorating further, which is a mild positive for SBAC's services line.</w:t>
      </w:r>
    </w:p>
    <w:p>
      <w:pPr>
        <w:pStyle w:val="Heading3"/>
      </w:pPr>
      <w:r>
        <w:rPr>
          <w:rFonts w:ascii="Calibri" w:hAnsi="Calibri"/>
          <w:b/>
          <w:color w:val="3B4259"/>
          <w:sz w:val="24"/>
        </w:rPr>
        <w:t>Crown Castle (CCI) — Q2 2026 Earnings Call (July 22, 2026)</w:t>
      </w:r>
    </w:p>
    <w:p>
      <w:r>
        <w:rPr>
          <w:rFonts w:ascii="Calibri" w:hAnsi="Calibri"/>
          <w:b/>
          <w:color w:val="525866"/>
          <w:sz w:val="22"/>
        </w:rPr>
        <w:t xml:space="preserve">Relevance: </w:t>
      </w:r>
      <w:r>
        <w:rPr>
          <w:rFonts w:ascii="Calibri" w:hAnsi="Calibri"/>
          <w:color w:val="525866"/>
          <w:sz w:val="22"/>
        </w:rPr>
        <w:t>CCI is now a pure-play US tower operator (completed sale of small cell/fiber businesses May 1, 2026). Its US-only commentary is directly relevant to SBAC's domestic leasing trends, carrier activity, and services revenue.</w:t>
      </w:r>
    </w:p>
    <w:p>
      <w:pPr>
        <w:pStyle w:val="ListBullet"/>
        <w:ind w:left="360" w:hanging="360"/>
      </w:pPr>
      <w:r>
        <w:rPr>
          <w:rFonts w:ascii="Calibri" w:hAnsi="Calibri"/>
          <w:b/>
          <w:color w:val="525866"/>
          <w:sz w:val="22"/>
        </w:rPr>
        <w:t>US Organic Growth at Low Watermark, Expected to Improve:</w:t>
      </w:r>
      <w:r>
        <w:rPr>
          <w:rFonts w:ascii="Calibri" w:hAnsi="Calibri"/>
          <w:color w:val="525866"/>
          <w:sz w:val="22"/>
        </w:rPr>
        <w:t xml:space="preserve"> CCI reported Q2 2026 organic growth of 3.9% ex-Sprint/DISH (or 4.2% if DISH excluded from prior year base). Full-year 2026 organic growth guidance raised to 3.4% ex-Sprint/DISH (from 3.3%). CCI explicitly stated 2026 is the "low point for organic growth" with acceleration expected in 2H and beyond.</w:t>
      </w:r>
    </w:p>
    <w:p>
      <w:pPr>
        <w:pStyle w:val="ListBullet"/>
        <w:ind w:left="360" w:hanging="360"/>
      </w:pPr>
      <w:r>
        <w:rPr>
          <w:rFonts w:ascii="Calibri" w:hAnsi="Calibri"/>
          <w:b/>
          <w:color w:val="525866"/>
          <w:sz w:val="22"/>
        </w:rPr>
        <w:t>SBAC Read-Through:</w:t>
      </w:r>
      <w:r>
        <w:rPr>
          <w:rFonts w:ascii="Calibri" w:hAnsi="Calibri"/>
          <w:color w:val="525866"/>
          <w:sz w:val="22"/>
        </w:rPr>
        <w:t xml:space="preserve"> CCI's confirmation that 2026 is the organic growth trough is a direct positive read-through for SBAC. SBAC's domestic organic growth of −3% is more negative than CCI's because SBAC has both Sprint AND EchoStar churn; as these anniversary, the underlying new business rate (which CCI shows is healthy at ~3.5–4%) should become visible for SBAC in 2027.</w:t>
      </w:r>
    </w:p>
    <w:p>
      <w:pPr>
        <w:pStyle w:val="ListBullet"/>
        <w:ind w:left="360" w:hanging="360"/>
      </w:pPr>
      <w:r>
        <w:rPr>
          <w:rFonts w:ascii="Calibri" w:hAnsi="Calibri"/>
          <w:b/>
          <w:color w:val="525866"/>
          <w:sz w:val="22"/>
        </w:rPr>
        <w:t>Services Revenue Pullback — Carrier Leadership Changes:</w:t>
      </w:r>
      <w:r>
        <w:rPr>
          <w:rFonts w:ascii="Calibri" w:hAnsi="Calibri"/>
          <w:color w:val="525866"/>
          <w:sz w:val="22"/>
        </w:rPr>
        <w:t xml:space="preserve"> CCI reported "some pullback in services activity" across all three major carriers, attributing it to "leadership and strategy changes" and "large-scale waves of layoffs" leading to "slower decision making." CCI reduced its services contribution outlook by $20M for 2H 2026.</w:t>
      </w:r>
    </w:p>
    <w:p>
      <w:pPr>
        <w:pStyle w:val="ListBullet"/>
        <w:ind w:left="360" w:hanging="360"/>
      </w:pPr>
      <w:r>
        <w:rPr>
          <w:rFonts w:ascii="Calibri" w:hAnsi="Calibri"/>
          <w:b/>
          <w:color w:val="525866"/>
          <w:sz w:val="22"/>
        </w:rPr>
        <w:t>SBAC Read-Through:</w:t>
      </w:r>
      <w:r>
        <w:rPr>
          <w:rFonts w:ascii="Calibri" w:hAnsi="Calibri"/>
          <w:color w:val="525866"/>
          <w:sz w:val="22"/>
        </w:rPr>
        <w:t xml:space="preserve"> This is a mild negative read-through for SBAC's services segment ($190–$210M guidance). If carrier decision-making has slowed across the industry, SBAC's services revenue could face similar headwinds in Q2. However, SBAC's services guidance is already conservative and the company has noted Verizon is its most active customer — which may partially offset broader softness.</w:t>
      </w:r>
    </w:p>
    <w:p>
      <w:pPr>
        <w:pStyle w:val="ListBullet"/>
        <w:ind w:left="360" w:hanging="360"/>
      </w:pPr>
      <w:r>
        <w:rPr>
          <w:rFonts w:ascii="Calibri" w:hAnsi="Calibri"/>
          <w:b/>
          <w:color w:val="525866"/>
          <w:sz w:val="22"/>
        </w:rPr>
        <w:t>DISH Bankruptcy and Escrow:</w:t>
      </w:r>
      <w:r>
        <w:rPr>
          <w:rFonts w:ascii="Calibri" w:hAnsi="Calibri"/>
          <w:color w:val="525866"/>
          <w:sz w:val="22"/>
        </w:rPr>
        <w:t xml:space="preserve"> CCI confirmed DISH Wireless filed for bankruptcy and CCI is pursuing its $3.5B contractual claim in bankruptcy court. The FCC-mandated $2.4B escrow account (tied to AT&amp;T transaction closing) is a "bankruptcy-remote" source of funding for network-related obligations including infrastructure claims.</w:t>
      </w:r>
    </w:p>
    <w:p>
      <w:pPr>
        <w:pStyle w:val="ListBullet"/>
        <w:ind w:left="360" w:hanging="360"/>
      </w:pPr>
      <w:r>
        <w:rPr>
          <w:rFonts w:ascii="Calibri" w:hAnsi="Calibri"/>
          <w:b/>
          <w:color w:val="525866"/>
          <w:sz w:val="22"/>
        </w:rPr>
        <w:t>SBAC Read-Through:</w:t>
      </w:r>
      <w:r>
        <w:rPr>
          <w:rFonts w:ascii="Calibri" w:hAnsi="Calibri"/>
          <w:color w:val="525866"/>
          <w:sz w:val="22"/>
        </w:rPr>
        <w:t xml:space="preserve"> SBAC's ~$100M EchoStar exposure is much smaller than CCI's $3.5B claim. The escrow mechanism is the same one SBAC management referenced at the JP Morgan conference. CCI's aggressive pursuit of its claim validates SBAC's own litigation posture. Any escrow distribution would be upside to SBAC's AFFO.</w:t>
      </w:r>
    </w:p>
    <w:p>
      <w:pPr>
        <w:pStyle w:val="ListBullet"/>
        <w:ind w:left="360" w:hanging="360"/>
      </w:pPr>
      <w:r>
        <w:rPr>
          <w:rFonts w:ascii="Calibri" w:hAnsi="Calibri"/>
          <w:b/>
          <w:color w:val="525866"/>
          <w:sz w:val="22"/>
        </w:rPr>
        <w:t>Edge Compute Gaining Momentum:</w:t>
      </w:r>
      <w:r>
        <w:rPr>
          <w:rFonts w:ascii="Calibri" w:hAnsi="Calibri"/>
          <w:color w:val="525866"/>
          <w:sz w:val="22"/>
        </w:rPr>
        <w:t xml:space="preserve"> CCI reported "growing interest" in how its tower portfolio can support distributed compute deployments. Trials underway with edge data center providers. CCI sees this as "incremental revenue that we can unlock on sites and monetize fairly quickly" with "very limited use of capital." Interest from businesses seeking to deploy inference workloads, cybersecurity, fraud detection, and real-time data processing.</w:t>
      </w:r>
    </w:p>
    <w:p>
      <w:pPr>
        <w:pStyle w:val="ListBullet"/>
        <w:ind w:left="360" w:hanging="360"/>
      </w:pPr>
      <w:r>
        <w:rPr>
          <w:rFonts w:ascii="Calibri" w:hAnsi="Calibri"/>
          <w:b/>
          <w:color w:val="525866"/>
          <w:sz w:val="22"/>
        </w:rPr>
        <w:t>SBAC Read-Through:</w:t>
      </w:r>
      <w:r>
        <w:rPr>
          <w:rFonts w:ascii="Calibri" w:hAnsi="Calibri"/>
          <w:color w:val="525866"/>
          <w:sz w:val="22"/>
        </w:rPr>
        <w:t xml:space="preserve"> Validates SBAC's own edge computing initiative. CCI's more specific disclosure (sites with 100–400 amp power, tens to low hundreds of kW capacity) provides a framework for understanding SBAC's site-level opportunity. Both companies are in early-stage trials with no material near-term financial impact.</w:t>
      </w:r>
    </w:p>
    <w:p>
      <w:pPr>
        <w:pStyle w:val="ListBullet"/>
        <w:ind w:left="360" w:hanging="360"/>
      </w:pPr>
      <w:r>
        <w:rPr>
          <w:rFonts w:ascii="Calibri" w:hAnsi="Calibri"/>
          <w:b/>
          <w:color w:val="525866"/>
          <w:sz w:val="22"/>
        </w:rPr>
        <w:t>AT&amp;T 600MHz Spectrum Deployment:</w:t>
      </w:r>
      <w:r>
        <w:rPr>
          <w:rFonts w:ascii="Calibri" w:hAnsi="Calibri"/>
          <w:color w:val="525866"/>
          <w:sz w:val="22"/>
        </w:rPr>
        <w:t xml:space="preserve"> CCI noted AT&amp;T's acquisition of 600MHz spectrum from EchoStar is expected to close "later this month" (July 2026) and characterized it as a "mid-term driver" for deployment. The 600MHz band requires "very large massive MIMO antennas" — a physical upgrade that will require new equipment at tower sites.</w:t>
      </w:r>
    </w:p>
    <w:p>
      <w:pPr>
        <w:pStyle w:val="ListBullet"/>
        <w:ind w:left="360" w:hanging="360"/>
      </w:pPr>
      <w:r>
        <w:rPr>
          <w:rFonts w:ascii="Calibri" w:hAnsi="Calibri"/>
          <w:b/>
          <w:color w:val="525866"/>
          <w:sz w:val="22"/>
        </w:rPr>
        <w:t>SBAC Read-Through:</w:t>
      </w:r>
      <w:r>
        <w:rPr>
          <w:rFonts w:ascii="Calibri" w:hAnsi="Calibri"/>
          <w:color w:val="525866"/>
          <w:sz w:val="22"/>
        </w:rPr>
        <w:t xml:space="preserve"> SBAC's CFO made the same point at the JP Morgan conference — AT&amp;T's 600MHz deployment will require new equipment under SBAC's existing MLA (valid through mid-2028). This is a future leasing catalyst that is not yet in consensus estimates.</w:t>
      </w:r>
    </w:p>
    <w:p>
      <w:pPr>
        <w:pStyle w:val="ListBullet"/>
        <w:ind w:left="360" w:hanging="360"/>
      </w:pPr>
      <w:r>
        <w:rPr>
          <w:rFonts w:ascii="Calibri" w:hAnsi="Calibri"/>
          <w:b/>
          <w:color w:val="525866"/>
          <w:sz w:val="22"/>
        </w:rPr>
        <w:t>Satellite vs. Terrestrial:</w:t>
      </w:r>
      <w:r>
        <w:rPr>
          <w:rFonts w:ascii="Calibri" w:hAnsi="Calibri"/>
          <w:color w:val="525866"/>
          <w:sz w:val="22"/>
        </w:rPr>
        <w:t xml:space="preserve"> CCI provided detailed analysis of why satellite cannot replace terrestrial networks: satellite signals are ~10,000x weaker, satellite operators have access to only tens of MHz vs. hundreds for carriers, and a typical satellite beam covers 100–600 sq miles vs. 3–20 sq miles for a cell site. CCI expects terrestrial infrastructure to become an "increasingly important complement" to satellite networks.</w:t>
      </w:r>
    </w:p>
    <w:p>
      <w:pPr>
        <w:pStyle w:val="ListBullet"/>
        <w:ind w:left="360" w:hanging="360"/>
      </w:pPr>
      <w:r>
        <w:rPr>
          <w:rFonts w:ascii="Calibri" w:hAnsi="Calibri"/>
          <w:b/>
          <w:color w:val="525866"/>
          <w:sz w:val="22"/>
        </w:rPr>
        <w:t>SBAC Read-Through:</w:t>
      </w:r>
      <w:r>
        <w:rPr>
          <w:rFonts w:ascii="Calibri" w:hAnsi="Calibri"/>
          <w:color w:val="525866"/>
          <w:sz w:val="22"/>
        </w:rPr>
        <w:t xml:space="preserve"> Validates SBAC management's own framing that Starlink's spectrum acquisition could make it a future tower leasing customer rather than a competitive threat.</w:t>
      </w:r>
    </w:p>
    <w:p>
      <w:pPr>
        <w:pStyle w:val="Heading3"/>
      </w:pPr>
      <w:r>
        <w:rPr>
          <w:rFonts w:ascii="Calibri" w:hAnsi="Calibri"/>
          <w:b/>
          <w:color w:val="3B4259"/>
          <w:sz w:val="24"/>
        </w:rPr>
        <w:t>AMT — Nareit REITweek Conference (June 3, 2026)</w:t>
      </w:r>
    </w:p>
    <w:p>
      <w:r>
        <w:rPr>
          <w:rFonts w:ascii="Calibri" w:hAnsi="Calibri"/>
          <w:b/>
          <w:color w:val="525866"/>
          <w:sz w:val="22"/>
        </w:rPr>
        <w:t xml:space="preserve">Relevance: </w:t>
      </w:r>
      <w:r>
        <w:rPr>
          <w:rFonts w:ascii="Calibri" w:hAnsi="Calibri"/>
          <w:color w:val="525866"/>
          <w:sz w:val="22"/>
        </w:rPr>
        <w:t>AMT's June 3 conference commentary provided mid-quarter color on US leasing trends and carrier activity during Q2 2026.</w:t>
      </w:r>
    </w:p>
    <w:p>
      <w:pPr>
        <w:pStyle w:val="ListBullet"/>
        <w:ind w:left="360" w:hanging="360"/>
      </w:pPr>
      <w:r>
        <w:rPr>
          <w:rFonts w:ascii="Calibri" w:hAnsi="Calibri"/>
          <w:b/>
          <w:color w:val="525866"/>
          <w:sz w:val="22"/>
        </w:rPr>
        <w:t>Demand Environment "Healthy," DISH Churn Fully Removed:</w:t>
      </w:r>
      <w:r>
        <w:rPr>
          <w:rFonts w:ascii="Calibri" w:hAnsi="Calibri"/>
          <w:color w:val="525866"/>
          <w:sz w:val="22"/>
        </w:rPr>
        <w:t xml:space="preserve"> AMT confirmed a "healthy demand environment for new business" with no change expected from interest rates or other factors. DISH churn is "100% out of the numbers" — any recovery from litigation is "just upside." New business rate with the three major carriers is "roughly in line with the average" even when the industry had 5–6 carriers.</w:t>
      </w:r>
    </w:p>
    <w:p>
      <w:pPr>
        <w:pStyle w:val="ListBullet"/>
        <w:ind w:left="360" w:hanging="360"/>
      </w:pPr>
      <w:r>
        <w:rPr>
          <w:rFonts w:ascii="Calibri" w:hAnsi="Calibri"/>
          <w:b/>
          <w:color w:val="525866"/>
          <w:sz w:val="22"/>
        </w:rPr>
        <w:t>SBAC Read-Through:</w:t>
      </w:r>
      <w:r>
        <w:rPr>
          <w:rFonts w:ascii="Calibri" w:hAnsi="Calibri"/>
          <w:color w:val="525866"/>
          <w:sz w:val="22"/>
        </w:rPr>
        <w:t xml:space="preserve"> Constructive mid-quarter signal for SBAC's Q2 leasing activity. SBAC's EchoStar churn is similarly fully removed from guidance; the underlying new business rate should be the focus.</w:t>
      </w:r>
    </w:p>
    <w:p>
      <w:pPr>
        <w:pStyle w:val="ListBullet"/>
        <w:ind w:left="360" w:hanging="360"/>
      </w:pPr>
      <w:r>
        <w:rPr>
          <w:rFonts w:ascii="Calibri" w:hAnsi="Calibri"/>
          <w:b/>
          <w:color w:val="525866"/>
          <w:sz w:val="22"/>
        </w:rPr>
        <w:t>Densification: Half of Capacity Demand Must Come from New Sites/Equipment:</w:t>
      </w:r>
      <w:r>
        <w:rPr>
          <w:rFonts w:ascii="Calibri" w:hAnsi="Calibri"/>
          <w:color w:val="525866"/>
          <w:sz w:val="22"/>
        </w:rPr>
        <w:t xml:space="preserve"> AMT reiterated that mobile data capacity needs to double by end of decade, with ~half met by new spectrum/technology and ~half by densification ("adding more sites and more equipment to existing sites"). 6G spectrum in the 6–8 GHz range will "need more towers" and "more sites" due to poor propagation at high frequencies.</w:t>
      </w:r>
    </w:p>
    <w:p>
      <w:pPr>
        <w:pStyle w:val="ListBullet"/>
        <w:ind w:left="360" w:hanging="360"/>
      </w:pPr>
      <w:r>
        <w:rPr>
          <w:rFonts w:ascii="Calibri" w:hAnsi="Calibri"/>
          <w:b/>
          <w:color w:val="525866"/>
          <w:sz w:val="22"/>
        </w:rPr>
        <w:t>SBAC Read-Through:</w:t>
      </w:r>
      <w:r>
        <w:rPr>
          <w:rFonts w:ascii="Calibri" w:hAnsi="Calibri"/>
          <w:color w:val="525866"/>
          <w:sz w:val="22"/>
        </w:rPr>
        <w:t xml:space="preserve"> Structural long-term demand driver for SBAC's distributed US portfolio. Consistent with SBAC management's own 6G framing.</w:t>
      </w:r>
    </w:p>
    <w:p>
      <w:pPr>
        <w:pStyle w:val="ListBullet"/>
        <w:ind w:left="360" w:hanging="360"/>
      </w:pPr>
      <w:r>
        <w:rPr>
          <w:rFonts w:ascii="Calibri" w:hAnsi="Calibri"/>
          <w:b/>
          <w:color w:val="525866"/>
          <w:sz w:val="22"/>
        </w:rPr>
        <w:t>Carrier CapEx: Modest Reduction Doesn't Mean Tower Spending Cuts:</w:t>
      </w:r>
      <w:r>
        <w:rPr>
          <w:rFonts w:ascii="Calibri" w:hAnsi="Calibri"/>
          <w:color w:val="525866"/>
          <w:sz w:val="22"/>
        </w:rPr>
        <w:t xml:space="preserve"> AMT noted that even if carriers reduce total CapEx, tower-related spending is a small portion of total CapEx (which also includes fiber, core, R&amp;D). Mobile data growth is the "best predictor of activity on our sites" — carriers will not allow networks to degrade to the point of subscriber churn.</w:t>
      </w:r>
    </w:p>
    <w:p>
      <w:pPr>
        <w:pStyle w:val="ListBullet"/>
        <w:ind w:left="360" w:hanging="360"/>
      </w:pPr>
      <w:r>
        <w:rPr>
          <w:rFonts w:ascii="Calibri" w:hAnsi="Calibri"/>
          <w:b/>
          <w:color w:val="525866"/>
          <w:sz w:val="22"/>
        </w:rPr>
        <w:t>SBAC Read-Through:</w:t>
      </w:r>
      <w:r>
        <w:rPr>
          <w:rFonts w:ascii="Calibri" w:hAnsi="Calibri"/>
          <w:color w:val="525866"/>
          <w:sz w:val="22"/>
        </w:rPr>
        <w:t xml:space="preserve"> Addresses the key bear concern on SBAC — that carrier CapEx cuts will reduce tower leasing activity. AMT's data-driven framing (mobile data up 35% YoY per CTIA) supports SBAC's own argument that FWA and data growth will compel continued network investment.</w:t>
      </w:r>
    </w:p>
    <w:p>
      <w:pPr>
        <w:pStyle w:val="Heading3"/>
      </w:pPr>
      <w:r>
        <w:rPr>
          <w:rFonts w:ascii="Calibri" w:hAnsi="Calibri"/>
          <w:b/>
          <w:color w:val="3B4259"/>
          <w:sz w:val="24"/>
        </w:rPr>
        <w:t>CCI — Nareit REITweek Conference (June 2, 2026)</w:t>
      </w:r>
    </w:p>
    <w:p>
      <w:r>
        <w:rPr>
          <w:rFonts w:ascii="Calibri" w:hAnsi="Calibri"/>
          <w:b/>
          <w:color w:val="525866"/>
          <w:sz w:val="22"/>
        </w:rPr>
        <w:t xml:space="preserve">Relevance: </w:t>
      </w:r>
      <w:r>
        <w:rPr>
          <w:rFonts w:ascii="Calibri" w:hAnsi="Calibri"/>
          <w:color w:val="525866"/>
          <w:sz w:val="22"/>
        </w:rPr>
        <w:t>CCI's June 2 conference commentary provided mid-quarter color on US leasing trends and the organic growth outlook for Q2 2026.</w:t>
      </w:r>
    </w:p>
    <w:p>
      <w:pPr>
        <w:pStyle w:val="ListBullet"/>
        <w:ind w:left="360" w:hanging="360"/>
      </w:pPr>
      <w:r>
        <w:rPr>
          <w:rFonts w:ascii="Calibri" w:hAnsi="Calibri"/>
          <w:b/>
          <w:color w:val="525866"/>
          <w:sz w:val="22"/>
        </w:rPr>
        <w:t>Q1 2026 Organic Growth of 3.5% Was the "Low Watermark":</w:t>
      </w:r>
      <w:r>
        <w:rPr>
          <w:rFonts w:ascii="Calibri" w:hAnsi="Calibri"/>
          <w:color w:val="525866"/>
          <w:sz w:val="22"/>
        </w:rPr>
        <w:t xml:space="preserve"> CCI stated that the 3.5% organic growth rate from Q1 2026 is expected to be the low point, with "additional upside opportunity" and potential "acceleration in the back half of the year." The industry is "taking a deep breath" in 2026 but the long-term outlook is positive.</w:t>
      </w:r>
    </w:p>
    <w:p>
      <w:pPr>
        <w:pStyle w:val="ListBullet"/>
        <w:ind w:left="360" w:hanging="360"/>
      </w:pPr>
      <w:r>
        <w:rPr>
          <w:rFonts w:ascii="Calibri" w:hAnsi="Calibri"/>
          <w:b/>
          <w:color w:val="525866"/>
          <w:sz w:val="22"/>
        </w:rPr>
        <w:t>SBAC Read-Through:</w:t>
      </w:r>
      <w:r>
        <w:rPr>
          <w:rFonts w:ascii="Calibri" w:hAnsi="Calibri"/>
          <w:color w:val="525866"/>
          <w:sz w:val="22"/>
        </w:rPr>
        <w:t xml:space="preserve"> CCI's mid-quarter confirmation that organic growth is at a trough is a positive signal for SBAC's Q2 leasing trends. If the industry is at a low watermark, SBAC's domestic organic growth (−3%) should also be near its trough, with improvement expected as Sprint/EchoStar churn anniversaries approach.</w:t>
      </w:r>
    </w:p>
    <w:p>
      <w:pPr>
        <w:pStyle w:val="ListBullet"/>
        <w:ind w:left="360" w:hanging="360"/>
      </w:pPr>
      <w:r>
        <w:rPr>
          <w:rFonts w:ascii="Calibri" w:hAnsi="Calibri"/>
          <w:b/>
          <w:color w:val="525866"/>
          <w:sz w:val="22"/>
        </w:rPr>
        <w:t>Data Growth as Primary Demand Driver:</w:t>
      </w:r>
      <w:r>
        <w:rPr>
          <w:rFonts w:ascii="Calibri" w:hAnsi="Calibri"/>
          <w:color w:val="525866"/>
          <w:sz w:val="22"/>
        </w:rPr>
        <w:t xml:space="preserve"> CCI cited AI-driven data growth (30%+ annually for 3 years, largest single-year growth on record per CTIA) as the "single largest indicator of where the industry is headed." This growth requires adding radios and antennas to the network.</w:t>
      </w:r>
    </w:p>
    <w:p>
      <w:pPr>
        <w:pStyle w:val="ListBullet"/>
        <w:ind w:left="360" w:hanging="360"/>
      </w:pPr>
      <w:r>
        <w:rPr>
          <w:rFonts w:ascii="Calibri" w:hAnsi="Calibri"/>
          <w:b/>
          <w:color w:val="525866"/>
          <w:sz w:val="22"/>
        </w:rPr>
        <w:t>SBAC Read-Through:</w:t>
      </w:r>
      <w:r>
        <w:rPr>
          <w:rFonts w:ascii="Calibri" w:hAnsi="Calibri"/>
          <w:color w:val="525866"/>
          <w:sz w:val="22"/>
        </w:rPr>
        <w:t xml:space="preserve"> Consistent with SBAC's own FWA densification thesis. The data growth narrative supports the multi-year leasing demand outlook that underpins SBAC's 4.5–5% long-term US organic growth framework.</w:t>
      </w:r>
    </w:p>
    <w:p>
      <w:pPr>
        <w:pStyle w:val="ListBullet"/>
        <w:ind w:left="360" w:hanging="360"/>
      </w:pPr>
      <w:r>
        <w:rPr>
          <w:rFonts w:ascii="Calibri" w:hAnsi="Calibri"/>
          <w:b/>
          <w:color w:val="525866"/>
          <w:sz w:val="22"/>
        </w:rPr>
        <w:t>New Tower Builds: Economics Improving, Carriers Requesting Builds:</w:t>
      </w:r>
      <w:r>
        <w:rPr>
          <w:rFonts w:ascii="Calibri" w:hAnsi="Calibri"/>
          <w:color w:val="525866"/>
          <w:sz w:val="22"/>
        </w:rPr>
        <w:t xml:space="preserve"> CCI noted that new towers are increasingly being built for multiple carriers (not single-tenant), and that customers are asking CCI to build towers as anchor tenants. The cost to build a tower has "almost doubled since the pandemic" due to labor and materials inflation, making multi-tenant economics more important.</w:t>
      </w:r>
    </w:p>
    <w:p>
      <w:pPr>
        <w:pStyle w:val="ListBullet"/>
        <w:ind w:left="360" w:hanging="360"/>
      </w:pPr>
      <w:r>
        <w:rPr>
          <w:rFonts w:ascii="Calibri" w:hAnsi="Calibri"/>
          <w:b/>
          <w:color w:val="525866"/>
          <w:sz w:val="22"/>
        </w:rPr>
        <w:t>SBAC Read-Through:</w:t>
      </w:r>
      <w:r>
        <w:rPr>
          <w:rFonts w:ascii="Calibri" w:hAnsi="Calibri"/>
          <w:color w:val="525866"/>
          <w:sz w:val="22"/>
        </w:rPr>
        <w:t xml:space="preserve"> Validates SBAC's own commentary that carrier dialogue on new US tower builds has become "much more constructive." Rising build costs favor established operators like SBAC with existing infrastructure and carrier relationships.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or directors since the Q1 2026 earnings date. All Form 4 activity reflects routine RSU vesting and option exercises — standard compensation-driven transactions with no directional signal. The absence of any discretionary buying or selling is neutral.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Security</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Multiple Directors (8)</w:t>
            </w:r>
          </w:p>
        </w:tc>
        <w:tc>
          <w:tcPr>
            <w:tcW w:type="dxa" w:w="1234"/>
          </w:tcPr>
          <w:p>
            <w:r>
              <w:rPr>
                <w:rFonts w:ascii="Calibri" w:hAnsi="Calibri"/>
                <w:sz w:val="22"/>
              </w:rPr>
              <w:t>Director</w:t>
            </w:r>
          </w:p>
        </w:tc>
        <w:tc>
          <w:tcPr>
            <w:tcW w:type="dxa" w:w="1234"/>
          </w:tcPr>
          <w:p>
            <w:r>
              <w:rPr>
                <w:rFonts w:ascii="Calibri" w:hAnsi="Calibri"/>
                <w:sz w:val="22"/>
              </w:rPr>
              <w:t>RSU Grant (Code A)</w:t>
            </w:r>
          </w:p>
        </w:tc>
        <w:tc>
          <w:tcPr>
            <w:tcW w:type="dxa" w:w="1234"/>
          </w:tcPr>
          <w:p>
            <w:r>
              <w:rPr>
                <w:rFonts w:ascii="Calibri" w:hAnsi="Calibri"/>
                <w:sz w:val="22"/>
              </w:rPr>
              <w:t>Restricted Stock Units</w:t>
            </w:r>
          </w:p>
        </w:tc>
        <w:tc>
          <w:tcPr>
            <w:tcW w:type="dxa" w:w="1234"/>
          </w:tcPr>
          <w:p>
            <w:r>
              <w:rPr>
                <w:rFonts w:ascii="Calibri" w:hAnsi="Calibri"/>
                <w:sz w:val="22"/>
              </w:rPr>
              <w:t>1,108 each</w:t>
            </w:r>
          </w:p>
        </w:tc>
        <w:tc>
          <w:tcPr>
            <w:tcW w:type="dxa" w:w="1234"/>
          </w:tcPr>
          <w:p>
            <w:r>
              <w:rPr>
                <w:rFonts w:ascii="Calibri" w:hAnsi="Calibri"/>
                <w:sz w:val="22"/>
              </w:rPr>
              <w:t>May 22, 2026</w:t>
            </w:r>
          </w:p>
        </w:tc>
        <w:tc>
          <w:tcPr>
            <w:tcW w:type="dxa" w:w="1234"/>
          </w:tcPr>
          <w:p>
            <w:r>
              <w:rPr>
                <w:rFonts w:ascii="Calibri" w:hAnsi="Calibri"/>
                <w:sz w:val="22"/>
              </w:rPr>
              <w:t>Routine annual director RSU grant; not a market transaction</w:t>
            </w:r>
          </w:p>
        </w:tc>
      </w:tr>
      <w:tr>
        <w:tc>
          <w:tcPr>
            <w:tcW w:type="dxa" w:w="1234"/>
          </w:tcPr>
          <w:p>
            <w:r>
              <w:rPr>
                <w:rFonts w:ascii="Calibri" w:hAnsi="Calibri"/>
                <w:sz w:val="22"/>
              </w:rPr>
              <w:t>Beebe, Kevin L.</w:t>
            </w:r>
          </w:p>
        </w:tc>
        <w:tc>
          <w:tcPr>
            <w:tcW w:type="dxa" w:w="1234"/>
          </w:tcPr>
          <w:p>
            <w:r>
              <w:rPr>
                <w:rFonts w:ascii="Calibri" w:hAnsi="Calibri"/>
                <w:sz w:val="22"/>
              </w:rPr>
              <w:t>Director</w:t>
            </w:r>
          </w:p>
        </w:tc>
        <w:tc>
          <w:tcPr>
            <w:tcW w:type="dxa" w:w="1234"/>
          </w:tcPr>
          <w:p>
            <w:r>
              <w:rPr>
                <w:rFonts w:ascii="Calibri" w:hAnsi="Calibri"/>
                <w:sz w:val="22"/>
              </w:rPr>
              <w:t>Option Exercise + Tax Withholding (Codes M/F)</w:t>
            </w:r>
          </w:p>
        </w:tc>
        <w:tc>
          <w:tcPr>
            <w:tcW w:type="dxa" w:w="1234"/>
          </w:tcPr>
          <w:p>
            <w:r>
              <w:rPr>
                <w:rFonts w:ascii="Calibri" w:hAnsi="Calibri"/>
                <w:sz w:val="22"/>
              </w:rPr>
              <w:t>Class A Common Stock</w:t>
            </w:r>
          </w:p>
        </w:tc>
        <w:tc>
          <w:tcPr>
            <w:tcW w:type="dxa" w:w="1234"/>
          </w:tcPr>
          <w:p>
            <w:r>
              <w:rPr>
                <w:rFonts w:ascii="Calibri" w:hAnsi="Calibri"/>
                <w:sz w:val="22"/>
              </w:rPr>
              <w:t>1,501 acquired; 1,492 withheld for taxes</w:t>
            </w:r>
          </w:p>
        </w:tc>
        <w:tc>
          <w:tcPr>
            <w:tcW w:type="dxa" w:w="1234"/>
          </w:tcPr>
          <w:p>
            <w:r>
              <w:rPr>
                <w:rFonts w:ascii="Calibri" w:hAnsi="Calibri"/>
                <w:sz w:val="22"/>
              </w:rPr>
              <w:t>May 13, 2026</w:t>
            </w:r>
          </w:p>
        </w:tc>
        <w:tc>
          <w:tcPr>
            <w:tcW w:type="dxa" w:w="1234"/>
          </w:tcPr>
          <w:p>
            <w:r>
              <w:rPr>
                <w:rFonts w:ascii="Calibri" w:hAnsi="Calibri"/>
                <w:sz w:val="22"/>
              </w:rPr>
              <w:t>Routine option exercise; tax withholding sale; no discretionary signal</w:t>
            </w:r>
          </w:p>
        </w:tc>
      </w:tr>
      <w:tr>
        <w:tc>
          <w:tcPr>
            <w:tcW w:type="dxa" w:w="1234"/>
          </w:tcPr>
          <w:p>
            <w:r>
              <w:rPr>
                <w:rFonts w:ascii="Calibri" w:hAnsi="Calibri"/>
                <w:sz w:val="22"/>
              </w:rPr>
              <w:t>Bernstein, Steven E.</w:t>
            </w:r>
          </w:p>
        </w:tc>
        <w:tc>
          <w:tcPr>
            <w:tcW w:type="dxa" w:w="1234"/>
          </w:tcPr>
          <w:p>
            <w:r>
              <w:rPr>
                <w:rFonts w:ascii="Calibri" w:hAnsi="Calibri"/>
                <w:sz w:val="22"/>
              </w:rPr>
              <w:t>Director</w:t>
            </w:r>
          </w:p>
        </w:tc>
        <w:tc>
          <w:tcPr>
            <w:tcW w:type="dxa" w:w="1234"/>
          </w:tcPr>
          <w:p>
            <w:r>
              <w:rPr>
                <w:rFonts w:ascii="Calibri" w:hAnsi="Calibri"/>
                <w:sz w:val="22"/>
              </w:rPr>
              <w:t>Option Exercise + Tax Withholding (Codes M/F)</w:t>
            </w:r>
          </w:p>
        </w:tc>
        <w:tc>
          <w:tcPr>
            <w:tcW w:type="dxa" w:w="1234"/>
          </w:tcPr>
          <w:p>
            <w:r>
              <w:rPr>
                <w:rFonts w:ascii="Calibri" w:hAnsi="Calibri"/>
                <w:sz w:val="22"/>
              </w:rPr>
              <w:t>Class A Common Stock</w:t>
            </w:r>
          </w:p>
        </w:tc>
        <w:tc>
          <w:tcPr>
            <w:tcW w:type="dxa" w:w="1234"/>
          </w:tcPr>
          <w:p>
            <w:r>
              <w:rPr>
                <w:rFonts w:ascii="Calibri" w:hAnsi="Calibri"/>
                <w:sz w:val="22"/>
              </w:rPr>
              <w:t>1,501 acquired; 1,496 withheld for taxes</w:t>
            </w:r>
          </w:p>
        </w:tc>
        <w:tc>
          <w:tcPr>
            <w:tcW w:type="dxa" w:w="1234"/>
          </w:tcPr>
          <w:p>
            <w:r>
              <w:rPr>
                <w:rFonts w:ascii="Calibri" w:hAnsi="Calibri"/>
                <w:sz w:val="22"/>
              </w:rPr>
              <w:t>May 13, 2026</w:t>
            </w:r>
          </w:p>
        </w:tc>
        <w:tc>
          <w:tcPr>
            <w:tcW w:type="dxa" w:w="1234"/>
          </w:tcPr>
          <w:p>
            <w:r>
              <w:rPr>
                <w:rFonts w:ascii="Calibri" w:hAnsi="Calibri"/>
                <w:sz w:val="22"/>
              </w:rPr>
              <w:t>Routine option exercise; tax withholding sale; no discretionary signal</w:t>
            </w:r>
          </w:p>
        </w:tc>
      </w:tr>
      <w:tr>
        <w:tc>
          <w:tcPr>
            <w:tcW w:type="dxa" w:w="1234"/>
          </w:tcPr>
          <w:p>
            <w:r>
              <w:rPr>
                <w:rFonts w:ascii="Calibri" w:hAnsi="Calibri"/>
                <w:sz w:val="22"/>
              </w:rPr>
              <w:t>Krouse, George R. Jr.</w:t>
            </w:r>
          </w:p>
        </w:tc>
        <w:tc>
          <w:tcPr>
            <w:tcW w:type="dxa" w:w="1234"/>
          </w:tcPr>
          <w:p>
            <w:r>
              <w:rPr>
                <w:rFonts w:ascii="Calibri" w:hAnsi="Calibri"/>
                <w:sz w:val="22"/>
              </w:rPr>
              <w:t>Director</w:t>
            </w:r>
          </w:p>
        </w:tc>
        <w:tc>
          <w:tcPr>
            <w:tcW w:type="dxa" w:w="1234"/>
          </w:tcPr>
          <w:p>
            <w:r>
              <w:rPr>
                <w:rFonts w:ascii="Calibri" w:hAnsi="Calibri"/>
                <w:sz w:val="22"/>
              </w:rPr>
              <w:t>Option Exercise + Tax Withholding (Codes M/F)</w:t>
            </w:r>
          </w:p>
        </w:tc>
        <w:tc>
          <w:tcPr>
            <w:tcW w:type="dxa" w:w="1234"/>
          </w:tcPr>
          <w:p>
            <w:r>
              <w:rPr>
                <w:rFonts w:ascii="Calibri" w:hAnsi="Calibri"/>
                <w:sz w:val="22"/>
              </w:rPr>
              <w:t>Class A Common Stock</w:t>
            </w:r>
          </w:p>
        </w:tc>
        <w:tc>
          <w:tcPr>
            <w:tcW w:type="dxa" w:w="1234"/>
          </w:tcPr>
          <w:p>
            <w:r>
              <w:rPr>
                <w:rFonts w:ascii="Calibri" w:hAnsi="Calibri"/>
                <w:sz w:val="22"/>
              </w:rPr>
              <w:t>501 acquired; 500 withheld for taxes</w:t>
            </w:r>
          </w:p>
        </w:tc>
        <w:tc>
          <w:tcPr>
            <w:tcW w:type="dxa" w:w="1234"/>
          </w:tcPr>
          <w:p>
            <w:r>
              <w:rPr>
                <w:rFonts w:ascii="Calibri" w:hAnsi="Calibri"/>
                <w:sz w:val="22"/>
              </w:rPr>
              <w:t>May 13, 2026</w:t>
            </w:r>
          </w:p>
        </w:tc>
        <w:tc>
          <w:tcPr>
            <w:tcW w:type="dxa" w:w="1234"/>
          </w:tcPr>
          <w:p>
            <w:r>
              <w:rPr>
                <w:rFonts w:ascii="Calibri" w:hAnsi="Calibri"/>
                <w:sz w:val="22"/>
              </w:rPr>
              <w:t>Routine option exercise; tax withholding sale; no discretionary signal</w:t>
            </w:r>
          </w:p>
        </w:tc>
      </w:tr>
      <w:tr>
        <w:tc>
          <w:tcPr>
            <w:tcW w:type="dxa" w:w="1234"/>
          </w:tcPr>
          <w:p>
            <w:r>
              <w:rPr>
                <w:rFonts w:ascii="Calibri" w:hAnsi="Calibri"/>
                <w:sz w:val="22"/>
              </w:rPr>
              <w:t>Langer, Jack</w:t>
            </w:r>
          </w:p>
        </w:tc>
        <w:tc>
          <w:tcPr>
            <w:tcW w:type="dxa" w:w="1234"/>
          </w:tcPr>
          <w:p>
            <w:r>
              <w:rPr>
                <w:rFonts w:ascii="Calibri" w:hAnsi="Calibri"/>
                <w:sz w:val="22"/>
              </w:rPr>
              <w:t>Director</w:t>
            </w:r>
          </w:p>
        </w:tc>
        <w:tc>
          <w:tcPr>
            <w:tcW w:type="dxa" w:w="1234"/>
          </w:tcPr>
          <w:p>
            <w:r>
              <w:rPr>
                <w:rFonts w:ascii="Calibri" w:hAnsi="Calibri"/>
                <w:sz w:val="22"/>
              </w:rPr>
              <w:t>Option Exercise + Tax Withholding (Codes M/F)</w:t>
            </w:r>
          </w:p>
        </w:tc>
        <w:tc>
          <w:tcPr>
            <w:tcW w:type="dxa" w:w="1234"/>
          </w:tcPr>
          <w:p>
            <w:r>
              <w:rPr>
                <w:rFonts w:ascii="Calibri" w:hAnsi="Calibri"/>
                <w:sz w:val="22"/>
              </w:rPr>
              <w:t>Class A Common Stock</w:t>
            </w:r>
          </w:p>
        </w:tc>
        <w:tc>
          <w:tcPr>
            <w:tcW w:type="dxa" w:w="1234"/>
          </w:tcPr>
          <w:p>
            <w:r>
              <w:rPr>
                <w:rFonts w:ascii="Calibri" w:hAnsi="Calibri"/>
                <w:sz w:val="22"/>
              </w:rPr>
              <w:t>1,501 acquired; 1,496 withheld for taxes</w:t>
            </w:r>
          </w:p>
        </w:tc>
        <w:tc>
          <w:tcPr>
            <w:tcW w:type="dxa" w:w="1234"/>
          </w:tcPr>
          <w:p>
            <w:r>
              <w:rPr>
                <w:rFonts w:ascii="Calibri" w:hAnsi="Calibri"/>
                <w:sz w:val="22"/>
              </w:rPr>
              <w:t>May 13, 2026</w:t>
            </w:r>
          </w:p>
        </w:tc>
        <w:tc>
          <w:tcPr>
            <w:tcW w:type="dxa" w:w="1234"/>
          </w:tcPr>
          <w:p>
            <w:r>
              <w:rPr>
                <w:rFonts w:ascii="Calibri" w:hAnsi="Calibri"/>
                <w:sz w:val="22"/>
              </w:rPr>
              <w:t>Routine option exercise; tax withholding sale; no discretionary signal</w:t>
            </w:r>
          </w:p>
        </w:tc>
      </w:tr>
      <w:tr>
        <w:tc>
          <w:tcPr>
            <w:tcW w:type="dxa" w:w="1234"/>
          </w:tcPr>
          <w:p>
            <w:r>
              <w:rPr>
                <w:rFonts w:ascii="Calibri" w:hAnsi="Calibri"/>
                <w:sz w:val="22"/>
              </w:rPr>
              <w:t>Multiple Directors (7)</w:t>
            </w:r>
          </w:p>
        </w:tc>
        <w:tc>
          <w:tcPr>
            <w:tcW w:type="dxa" w:w="1234"/>
          </w:tcPr>
          <w:p>
            <w:r>
              <w:rPr>
                <w:rFonts w:ascii="Calibri" w:hAnsi="Calibri"/>
                <w:sz w:val="22"/>
              </w:rPr>
              <w:t>Director</w:t>
            </w:r>
          </w:p>
        </w:tc>
        <w:tc>
          <w:tcPr>
            <w:tcW w:type="dxa" w:w="1234"/>
          </w:tcPr>
          <w:p>
            <w:r>
              <w:rPr>
                <w:rFonts w:ascii="Calibri" w:hAnsi="Calibri"/>
                <w:sz w:val="22"/>
              </w:rPr>
              <w:t>RSU Vesting + Tax Withholding (Codes M/F)</w:t>
            </w:r>
          </w:p>
        </w:tc>
        <w:tc>
          <w:tcPr>
            <w:tcW w:type="dxa" w:w="1234"/>
          </w:tcPr>
          <w:p>
            <w:r>
              <w:rPr>
                <w:rFonts w:ascii="Calibri" w:hAnsi="Calibri"/>
                <w:sz w:val="22"/>
              </w:rPr>
              <w:t>Class A Common Stock</w:t>
            </w:r>
          </w:p>
        </w:tc>
        <w:tc>
          <w:tcPr>
            <w:tcW w:type="dxa" w:w="1234"/>
          </w:tcPr>
          <w:p>
            <w:r>
              <w:rPr>
                <w:rFonts w:ascii="Calibri" w:hAnsi="Calibri"/>
                <w:sz w:val="22"/>
              </w:rPr>
              <w:t>881 acquired; ~326 withheld for taxes (each)</w:t>
            </w:r>
          </w:p>
        </w:tc>
        <w:tc>
          <w:tcPr>
            <w:tcW w:type="dxa" w:w="1234"/>
          </w:tcPr>
          <w:p>
            <w:r>
              <w:rPr>
                <w:rFonts w:ascii="Calibri" w:hAnsi="Calibri"/>
                <w:sz w:val="22"/>
              </w:rPr>
              <w:t>May 1, 2026</w:t>
            </w:r>
          </w:p>
        </w:tc>
        <w:tc>
          <w:tcPr>
            <w:tcW w:type="dxa" w:w="1234"/>
          </w:tcPr>
          <w:p>
            <w:r>
              <w:rPr>
                <w:rFonts w:ascii="Calibri" w:hAnsi="Calibri"/>
                <w:sz w:val="22"/>
              </w:rPr>
              <w:t>Routine RSU vesting; tax withholding; no discretionary signal</w:t>
            </w:r>
          </w:p>
        </w:tc>
      </w:tr>
      <w:tr>
        <w:tc>
          <w:tcPr>
            <w:tcW w:type="dxa" w:w="1234"/>
          </w:tcPr>
          <w:p>
            <w:r>
              <w:rPr>
                <w:rFonts w:ascii="Calibri" w:hAnsi="Calibri"/>
                <w:sz w:val="22"/>
              </w:rPr>
              <w:t>Stoops, Jeffrey</w:t>
            </w:r>
          </w:p>
        </w:tc>
        <w:tc>
          <w:tcPr>
            <w:tcW w:type="dxa" w:w="1234"/>
          </w:tcPr>
          <w:p>
            <w:r>
              <w:rPr>
                <w:rFonts w:ascii="Calibri" w:hAnsi="Calibri"/>
                <w:sz w:val="22"/>
              </w:rPr>
              <w:t>Chairman, Director</w:t>
            </w:r>
          </w:p>
        </w:tc>
        <w:tc>
          <w:tcPr>
            <w:tcW w:type="dxa" w:w="1234"/>
          </w:tcPr>
          <w:p>
            <w:r>
              <w:rPr>
                <w:rFonts w:ascii="Calibri" w:hAnsi="Calibri"/>
                <w:sz w:val="22"/>
              </w:rPr>
              <w:t>RSU Vesting (Code M)</w:t>
            </w:r>
          </w:p>
        </w:tc>
        <w:tc>
          <w:tcPr>
            <w:tcW w:type="dxa" w:w="1234"/>
          </w:tcPr>
          <w:p>
            <w:r>
              <w:rPr>
                <w:rFonts w:ascii="Calibri" w:hAnsi="Calibri"/>
                <w:sz w:val="22"/>
              </w:rPr>
              <w:t>Class A Common Stock</w:t>
            </w:r>
          </w:p>
        </w:tc>
        <w:tc>
          <w:tcPr>
            <w:tcW w:type="dxa" w:w="1234"/>
          </w:tcPr>
          <w:p>
            <w:r>
              <w:rPr>
                <w:rFonts w:ascii="Calibri" w:hAnsi="Calibri"/>
                <w:sz w:val="22"/>
              </w:rPr>
              <w:t>633 acquired</w:t>
            </w:r>
          </w:p>
        </w:tc>
        <w:tc>
          <w:tcPr>
            <w:tcW w:type="dxa" w:w="1234"/>
          </w:tcPr>
          <w:p>
            <w:r>
              <w:rPr>
                <w:rFonts w:ascii="Calibri" w:hAnsi="Calibri"/>
                <w:sz w:val="22"/>
              </w:rPr>
              <w:t>May 1, 2026</w:t>
            </w:r>
          </w:p>
        </w:tc>
        <w:tc>
          <w:tcPr>
            <w:tcW w:type="dxa" w:w="1234"/>
          </w:tcPr>
          <w:p>
            <w:r>
              <w:rPr>
                <w:rFonts w:ascii="Calibri" w:hAnsi="Calibri"/>
                <w:sz w:val="22"/>
              </w:rPr>
              <w:t>Routine RSU vesting; no discretionary signal</w:t>
            </w:r>
          </w:p>
        </w:tc>
      </w:tr>
    </w:tbl>
    <w:p>
      <w:r>
        <w:rPr>
          <w:rFonts w:ascii="Calibri" w:hAnsi="Calibri"/>
          <w:b/>
          <w:color w:val="525866"/>
          <w:sz w:val="22"/>
        </w:rPr>
        <w:t xml:space="preserve">Summary: </w:t>
      </w:r>
      <w:r>
        <w:rPr>
          <w:rFonts w:ascii="Calibri" w:hAnsi="Calibri"/>
          <w:color w:val="525866"/>
          <w:sz w:val="22"/>
        </w:rPr>
        <w:t>All Form 4 filings since the Q1 2026 earnings date (April 29, 2026) reflect routine compensation-driven transactions: annual director RSU grants (May 22), option exercises with tax withholding (May 13), and RSU vesting with tax withholding (May 1). There are no open-market purchases (Code P) or discretionary sales (Code S) by any executive or director. No 10b5-1 plan initiations were filed. The complete absence of discretionary activity — in either direction — is neutral and provides no directional signal heading into Q2 earnings. Source: Insider Transaction Data (SEC Form 4).</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