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SBA Communications (SBAC)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SBA Communications Corporation</w:t>
            </w:r>
          </w:p>
        </w:tc>
      </w:tr>
      <w:tr>
        <w:tc>
          <w:tcPr>
            <w:tcW w:type="dxa" w:w="4320"/>
          </w:tcPr>
          <w:p>
            <w:r>
              <w:rPr>
                <w:rFonts w:ascii="Calibri" w:hAnsi="Calibri"/>
                <w:b/>
                <w:sz w:val="22"/>
              </w:rPr>
              <w:t>Ticker</w:t>
            </w:r>
          </w:p>
        </w:tc>
        <w:tc>
          <w:tcPr>
            <w:tcW w:type="dxa" w:w="4320"/>
          </w:tcPr>
          <w:p>
            <w:r>
              <w:rPr>
                <w:rFonts w:ascii="Calibri" w:hAnsi="Calibri"/>
                <w:sz w:val="22"/>
              </w:rPr>
              <w:t>SBAC (Nasdaq)</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August 3, 2026 (after market close)</w:t>
            </w:r>
          </w:p>
        </w:tc>
      </w:tr>
      <w:tr>
        <w:tc>
          <w:tcPr>
            <w:tcW w:type="dxa" w:w="4320"/>
          </w:tcPr>
          <w:p>
            <w:r>
              <w:rPr>
                <w:rFonts w:ascii="Calibri" w:hAnsi="Calibri"/>
                <w:b/>
                <w:sz w:val="22"/>
              </w:rPr>
              <w:t>Prepared</w:t>
            </w:r>
          </w:p>
        </w:tc>
        <w:tc>
          <w:tcPr>
            <w:tcW w:type="dxa" w:w="4320"/>
          </w:tcPr>
          <w:p>
            <w:r>
              <w:rPr>
                <w:rFonts w:ascii="Calibri" w:hAnsi="Calibri"/>
                <w:sz w:val="22"/>
              </w:rPr>
              <w:t>August 2, 2026</w:t>
            </w:r>
          </w:p>
        </w:tc>
      </w:tr>
      <w:tr>
        <w:tc>
          <w:tcPr>
            <w:tcW w:type="dxa" w:w="4320"/>
          </w:tcPr>
          <w:p>
            <w:r>
              <w:rPr>
                <w:rFonts w:ascii="Calibri" w:hAnsi="Calibri"/>
                <w:b/>
                <w:sz w:val="22"/>
              </w:rPr>
              <w:t>Primary Valuation Metric</w:t>
            </w:r>
          </w:p>
        </w:tc>
        <w:tc>
          <w:tcPr>
            <w:tcW w:type="dxa" w:w="4320"/>
          </w:tcPr>
          <w:p>
            <w:r>
              <w:rPr>
                <w:rFonts w:ascii="Calibri" w:hAnsi="Calibri"/>
                <w:sz w:val="22"/>
              </w:rPr>
              <w:t>AFFO per Share (EV/AFFO)</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modestly constructive — consensus is a manageable bar after Q1 beat-and-raise, but the stock has given back nearly all of its post-Q1 gains, leaving room for a positive re-rate if domestic leasing holds steady and international churn tracks management's "peak 2026" narrative.</w:t>
      </w:r>
    </w:p>
    <w:p>
      <w:r>
        <w:rPr>
          <w:rFonts w:ascii="Calibri" w:hAnsi="Calibri"/>
          <w:color w:val="525866"/>
          <w:sz w:val="22"/>
        </w:rPr>
        <w:t xml:space="preserve">Heading into Q2 2026, the bar for SBAC is achievable but not low: consensus AFFO per share of ~$2.99 implies a modest sequential step-down from Q1's $3.01 actual, consistent with the company's own full-year guidance midpoint of $12.155 per share. </w:t>
      </w:r>
      <w:r>
        <w:rPr>
          <w:rFonts w:ascii="Calibri" w:hAnsi="Calibri"/>
          <w:b/>
          <w:color w:val="525866"/>
          <w:sz w:val="22"/>
        </w:rPr>
        <w:t>Management's tone at the May 2026 JP Morgan conference was constructive</w:t>
      </w:r>
      <w:r>
        <w:rPr>
          <w:rFonts w:ascii="Calibri" w:hAnsi="Calibri"/>
          <w:color w:val="525866"/>
          <w:sz w:val="22"/>
        </w:rPr>
        <w:t xml:space="preserve"> — the CFO reiterated a long-term U.S. organic growth framework of 4.5–5%, confirmed Verizon as the most active carrier customer in 2026 under the November 2025 MLA, and characterized domestic leasing backlogs as continuing to replenish faster than they are consumed. Estimate revisions have been essentially flat since the Q1 print, with FY2026 AFFO per share consensus drifting only marginally from $12.18 to $12.19, suggesting the street has largely digested the guidance raise without adding incremental optimism. </w:t>
      </w:r>
      <w:r>
        <w:rPr>
          <w:rFonts w:ascii="Calibri" w:hAnsi="Calibri"/>
          <w:b/>
          <w:color w:val="525866"/>
          <w:sz w:val="22"/>
        </w:rPr>
        <w:t>The stock has underperformed meaningfully since Q1 earnings</w:t>
      </w:r>
      <w:r>
        <w:rPr>
          <w:rFonts w:ascii="Calibri" w:hAnsi="Calibri"/>
          <w:color w:val="525866"/>
          <w:sz w:val="22"/>
        </w:rPr>
        <w:t xml:space="preserve"> — down roughly 16% from the April 29 close of $215.97 to $181.01 as of July 31 — while VNQ is roughly flat and the S&amp;P 500 is up ~5%, implying the market has de-rated SBAC on a combination of take-private speculation fading, rate sensitivity, and continued domestic churn headwinds from Sprint and EchoStar. The single biggest wildcard is </w:t>
      </w:r>
      <w:r>
        <w:rPr>
          <w:rFonts w:ascii="Calibri" w:hAnsi="Calibri"/>
          <w:b/>
          <w:color w:val="525866"/>
          <w:sz w:val="22"/>
        </w:rPr>
        <w:t>the EchoStar/DISH bankruptcy escrow mechanism</w:t>
      </w:r>
      <w:r>
        <w:rPr>
          <w:rFonts w:ascii="Calibri" w:hAnsi="Calibri"/>
          <w:color w:val="525866"/>
          <w:sz w:val="22"/>
        </w:rPr>
        <w:t>: the FCC-mandated $2.4 billion escrow tied to AT&amp;T's spectrum acquisition closing could represent a meaningful recovery catalyst for SBAC's ~$100 million exposure, and any update on timing or settlement discussions could move the stock materially on the call.</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manageable bar on AFFO per share (~$2.99), but domestic organic leasing growth is the bigger swing factor — the street is modeling a deeply negative domestic organic rate (~−2.97%) driven by Sprint and EchoStar churn, and any upside surprise there would be the most meaningful driver of a positive stock reaction.</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FY2026 Guidance (Midpoint)</w:t>
            </w:r>
          </w:p>
        </w:tc>
        <w:tc>
          <w:tcPr>
            <w:tcW w:type="dxa" w:w="1234"/>
            <w:shd w:val="clear" w:color="auto" w:fill="3B4259"/>
          </w:tcPr>
          <w:p>
            <w:r>
              <w:rPr>
                <w:rFonts w:ascii="Calibri" w:hAnsi="Calibri"/>
                <w:b/>
                <w:color w:val="FFFFFF"/>
                <w:sz w:val="22"/>
              </w:rPr>
              <w:t>Consensus vs. Guidance (% delta)</w:t>
            </w:r>
          </w:p>
        </w:tc>
      </w:tr>
      <w:tr>
        <w:tc>
          <w:tcPr>
            <w:tcW w:type="dxa" w:w="1234"/>
          </w:tcPr>
          <w:p>
            <w:r>
              <w:rPr>
                <w:rFonts w:ascii="Calibri" w:hAnsi="Calibri"/>
                <w:sz w:val="22"/>
              </w:rPr>
              <w:t>AFFO per Share ($)</w:t>
            </w:r>
          </w:p>
        </w:tc>
        <w:tc>
          <w:tcPr>
            <w:tcW w:type="dxa" w:w="1234"/>
          </w:tcPr>
          <w:p>
            <w:r>
              <w:rPr>
                <w:rFonts w:ascii="Calibri" w:hAnsi="Calibri"/>
                <w:sz w:val="22"/>
              </w:rPr>
              <w:t>$3.01</w:t>
            </w:r>
          </w:p>
        </w:tc>
        <w:tc>
          <w:tcPr>
            <w:tcW w:type="dxa" w:w="1234"/>
          </w:tcPr>
          <w:p>
            <w:r>
              <w:rPr>
                <w:rFonts w:ascii="Calibri" w:hAnsi="Calibri"/>
                <w:sz w:val="22"/>
              </w:rPr>
              <w:t>$3.16</w:t>
            </w:r>
          </w:p>
        </w:tc>
        <w:tc>
          <w:tcPr>
            <w:tcW w:type="dxa" w:w="1234"/>
          </w:tcPr>
          <w:p>
            <w:r>
              <w:rPr>
                <w:rFonts w:ascii="Calibri" w:hAnsi="Calibri"/>
                <w:sz w:val="22"/>
              </w:rPr>
              <w:t>$2.99</w:t>
            </w:r>
          </w:p>
        </w:tc>
        <w:tc>
          <w:tcPr>
            <w:tcW w:type="dxa" w:w="1234"/>
          </w:tcPr>
          <w:p>
            <w:r>
              <w:rPr>
                <w:rFonts w:ascii="Calibri" w:hAnsi="Calibri"/>
                <w:sz w:val="22"/>
              </w:rPr>
              <w:t>−5.4%</w:t>
            </w:r>
          </w:p>
        </w:tc>
        <w:tc>
          <w:tcPr>
            <w:tcW w:type="dxa" w:w="1234"/>
          </w:tcPr>
          <w:p>
            <w:r>
              <w:rPr>
                <w:rFonts w:ascii="Calibri" w:hAnsi="Calibri"/>
                <w:sz w:val="22"/>
              </w:rPr>
              <w:t>$12.155 (FY)</w:t>
            </w:r>
          </w:p>
        </w:tc>
        <w:tc>
          <w:tcPr>
            <w:tcW w:type="dxa" w:w="1234"/>
          </w:tcPr>
          <w:p>
            <w:r>
              <w:rPr>
                <w:rFonts w:ascii="Calibri" w:hAnsi="Calibri"/>
                <w:sz w:val="22"/>
              </w:rPr>
              <w:t>~−1.4% vs. FY midpoint annualized run-rate</w:t>
            </w:r>
          </w:p>
        </w:tc>
      </w:tr>
      <w:tr>
        <w:tc>
          <w:tcPr>
            <w:tcW w:type="dxa" w:w="1234"/>
          </w:tcPr>
          <w:p>
            <w:r>
              <w:rPr>
                <w:rFonts w:ascii="Calibri" w:hAnsi="Calibri"/>
                <w:sz w:val="22"/>
              </w:rPr>
              <w:t>Total Revenue ($M)</w:t>
            </w:r>
          </w:p>
        </w:tc>
        <w:tc>
          <w:tcPr>
            <w:tcW w:type="dxa" w:w="1234"/>
          </w:tcPr>
          <w:p>
            <w:r>
              <w:rPr>
                <w:rFonts w:ascii="Calibri" w:hAnsi="Calibri"/>
                <w:sz w:val="22"/>
              </w:rPr>
              <w:t>$703.4M</w:t>
            </w:r>
          </w:p>
        </w:tc>
        <w:tc>
          <w:tcPr>
            <w:tcW w:type="dxa" w:w="1234"/>
          </w:tcPr>
          <w:p>
            <w:r>
              <w:rPr>
                <w:rFonts w:ascii="Calibri" w:hAnsi="Calibri"/>
                <w:sz w:val="22"/>
              </w:rPr>
              <w:t>$699.0M</w:t>
            </w:r>
          </w:p>
        </w:tc>
        <w:tc>
          <w:tcPr>
            <w:tcW w:type="dxa" w:w="1234"/>
          </w:tcPr>
          <w:p>
            <w:r>
              <w:rPr>
                <w:rFonts w:ascii="Calibri" w:hAnsi="Calibri"/>
                <w:sz w:val="22"/>
              </w:rPr>
              <w:t>$706.3M</w:t>
            </w:r>
          </w:p>
        </w:tc>
        <w:tc>
          <w:tcPr>
            <w:tcW w:type="dxa" w:w="1234"/>
          </w:tcPr>
          <w:p>
            <w:r>
              <w:rPr>
                <w:rFonts w:ascii="Calibri" w:hAnsi="Calibri"/>
                <w:sz w:val="22"/>
              </w:rPr>
              <w:t>+1.0%</w:t>
            </w:r>
          </w:p>
        </w:tc>
        <w:tc>
          <w:tcPr>
            <w:tcW w:type="dxa" w:w="1234"/>
          </w:tcPr>
          <w:p>
            <w:r>
              <w:rPr>
                <w:rFonts w:ascii="Calibri" w:hAnsi="Calibri"/>
                <w:sz w:val="22"/>
              </w:rPr>
              <w:t>$2,861.5M (FY midpoint)</w:t>
            </w:r>
          </w:p>
        </w:tc>
        <w:tc>
          <w:tcPr>
            <w:tcW w:type="dxa" w:w="1234"/>
          </w:tcPr>
          <w:p>
            <w:r>
              <w:rPr>
                <w:rFonts w:ascii="Calibri" w:hAnsi="Calibri"/>
                <w:sz w:val="22"/>
              </w:rPr>
              <w:t>~−0.3% vs. implied quarterly run-rate</w:t>
            </w:r>
          </w:p>
        </w:tc>
      </w:tr>
      <w:tr>
        <w:tc>
          <w:tcPr>
            <w:tcW w:type="dxa" w:w="1234"/>
          </w:tcPr>
          <w:p>
            <w:r>
              <w:rPr>
                <w:rFonts w:ascii="Calibri" w:hAnsi="Calibri"/>
                <w:sz w:val="22"/>
              </w:rPr>
              <w:t>Adjusted EBITDA ($M)</w:t>
            </w:r>
          </w:p>
        </w:tc>
        <w:tc>
          <w:tcPr>
            <w:tcW w:type="dxa" w:w="1234"/>
          </w:tcPr>
          <w:p>
            <w:r>
              <w:rPr>
                <w:rFonts w:ascii="Calibri" w:hAnsi="Calibri"/>
                <w:sz w:val="22"/>
              </w:rPr>
              <w:t>$475.4M</w:t>
            </w:r>
          </w:p>
        </w:tc>
        <w:tc>
          <w:tcPr>
            <w:tcW w:type="dxa" w:w="1234"/>
          </w:tcPr>
          <w:p>
            <w:r>
              <w:rPr>
                <w:rFonts w:ascii="Calibri" w:hAnsi="Calibri"/>
                <w:sz w:val="22"/>
              </w:rPr>
              <w:t>$475.5M</w:t>
            </w:r>
          </w:p>
        </w:tc>
        <w:tc>
          <w:tcPr>
            <w:tcW w:type="dxa" w:w="1234"/>
          </w:tcPr>
          <w:p>
            <w:r>
              <w:rPr>
                <w:rFonts w:ascii="Calibri" w:hAnsi="Calibri"/>
                <w:sz w:val="22"/>
              </w:rPr>
              <w:t>$477.1M</w:t>
            </w:r>
          </w:p>
        </w:tc>
        <w:tc>
          <w:tcPr>
            <w:tcW w:type="dxa" w:w="1234"/>
          </w:tcPr>
          <w:p>
            <w:r>
              <w:rPr>
                <w:rFonts w:ascii="Calibri" w:hAnsi="Calibri"/>
                <w:sz w:val="22"/>
              </w:rPr>
              <w:t>+0.3%</w:t>
            </w:r>
          </w:p>
        </w:tc>
        <w:tc>
          <w:tcPr>
            <w:tcW w:type="dxa" w:w="1234"/>
          </w:tcPr>
          <w:p>
            <w:r>
              <w:rPr>
                <w:rFonts w:ascii="Calibri" w:hAnsi="Calibri"/>
                <w:sz w:val="22"/>
              </w:rPr>
              <w:t>$1,931.0M (FY midpoint)</w:t>
            </w:r>
          </w:p>
        </w:tc>
        <w:tc>
          <w:tcPr>
            <w:tcW w:type="dxa" w:w="1234"/>
          </w:tcPr>
          <w:p>
            <w:r>
              <w:rPr>
                <w:rFonts w:ascii="Calibri" w:hAnsi="Calibri"/>
                <w:sz w:val="22"/>
              </w:rPr>
              <w:t>~−0.7% vs. implied quarterly run-rate</w:t>
            </w:r>
          </w:p>
        </w:tc>
      </w:tr>
      <w:tr>
        <w:tc>
          <w:tcPr>
            <w:tcW w:type="dxa" w:w="1234"/>
          </w:tcPr>
          <w:p>
            <w:r>
              <w:rPr>
                <w:rFonts w:ascii="Calibri" w:hAnsi="Calibri"/>
                <w:sz w:val="22"/>
              </w:rPr>
              <w:t>Domestic Organic Leasing Growth (%)</w:t>
            </w:r>
          </w:p>
        </w:tc>
        <w:tc>
          <w:tcPr>
            <w:tcW w:type="dxa" w:w="1234"/>
          </w:tcPr>
          <w:p>
            <w:r>
              <w:rPr>
                <w:rFonts w:ascii="Calibri" w:hAnsi="Calibri"/>
                <w:sz w:val="22"/>
              </w:rPr>
              <w:t>−3.0%</w:t>
            </w:r>
          </w:p>
        </w:tc>
        <w:tc>
          <w:tcPr>
            <w:tcW w:type="dxa" w:w="1234"/>
          </w:tcPr>
          <w:p>
            <w:r>
              <w:rPr>
                <w:rFonts w:ascii="Calibri" w:hAnsi="Calibri"/>
                <w:sz w:val="22"/>
              </w:rPr>
              <w:t>+0.9%</w:t>
            </w:r>
          </w:p>
        </w:tc>
        <w:tc>
          <w:tcPr>
            <w:tcW w:type="dxa" w:w="1234"/>
          </w:tcPr>
          <w:p>
            <w:r>
              <w:rPr>
                <w:rFonts w:ascii="Calibri" w:hAnsi="Calibri"/>
                <w:sz w:val="22"/>
              </w:rPr>
              <w:t>−2.97%</w:t>
            </w:r>
          </w:p>
        </w:tc>
        <w:tc>
          <w:tcPr>
            <w:tcW w:type="dxa" w:w="1234"/>
          </w:tcPr>
          <w:p>
            <w:r>
              <w:rPr>
                <w:rFonts w:ascii="Calibri" w:hAnsi="Calibri"/>
                <w:sz w:val="22"/>
              </w:rPr>
              <w:t>~−390 bps YoY</w:t>
            </w:r>
          </w:p>
        </w:tc>
        <w:tc>
          <w:tcPr>
            <w:tcW w:type="dxa" w:w="1234"/>
          </w:tcPr>
          <w:p>
            <w:r>
              <w:rPr>
                <w:rFonts w:ascii="Calibri" w:hAnsi="Calibri"/>
                <w:sz w:val="22"/>
              </w:rPr>
              <w:t>−2.51% (FY consensus)</w:t>
            </w:r>
          </w:p>
        </w:tc>
        <w:tc>
          <w:tcPr>
            <w:tcW w:type="dxa" w:w="1234"/>
          </w:tcPr>
          <w:p>
            <w:r>
              <w:rPr>
                <w:rFonts w:ascii="Calibri" w:hAnsi="Calibri"/>
                <w:sz w:val="22"/>
              </w:rPr>
              <w:t>Roughly in line with FY consensus</w:t>
            </w:r>
          </w:p>
        </w:tc>
      </w:tr>
      <w:tr>
        <w:tc>
          <w:tcPr>
            <w:tcW w:type="dxa" w:w="1234"/>
          </w:tcPr>
          <w:p>
            <w:r>
              <w:rPr>
                <w:rFonts w:ascii="Calibri" w:hAnsi="Calibri"/>
                <w:sz w:val="22"/>
              </w:rPr>
              <w:t>International Organic Leasing Growth (%)</w:t>
            </w:r>
          </w:p>
        </w:tc>
        <w:tc>
          <w:tcPr>
            <w:tcW w:type="dxa" w:w="1234"/>
          </w:tcPr>
          <w:p>
            <w:r>
              <w:rPr>
                <w:rFonts w:ascii="Calibri" w:hAnsi="Calibri"/>
                <w:sz w:val="22"/>
              </w:rPr>
              <w:t>+1.7%</w:t>
            </w:r>
          </w:p>
        </w:tc>
        <w:tc>
          <w:tcPr>
            <w:tcW w:type="dxa" w:w="1234"/>
          </w:tcPr>
          <w:p>
            <w:r>
              <w:rPr>
                <w:rFonts w:ascii="Calibri" w:hAnsi="Calibri"/>
                <w:sz w:val="22"/>
              </w:rPr>
              <w:t>+0.8%</w:t>
            </w:r>
          </w:p>
        </w:tc>
        <w:tc>
          <w:tcPr>
            <w:tcW w:type="dxa" w:w="1234"/>
          </w:tcPr>
          <w:p>
            <w:r>
              <w:rPr>
                <w:rFonts w:ascii="Calibri" w:hAnsi="Calibri"/>
                <w:sz w:val="22"/>
              </w:rPr>
              <w:t>+0.67%</w:t>
            </w:r>
          </w:p>
        </w:tc>
        <w:tc>
          <w:tcPr>
            <w:tcW w:type="dxa" w:w="1234"/>
          </w:tcPr>
          <w:p>
            <w:r>
              <w:rPr>
                <w:rFonts w:ascii="Calibri" w:hAnsi="Calibri"/>
                <w:sz w:val="22"/>
              </w:rPr>
              <w:t>~−13 bps YoY</w:t>
            </w:r>
          </w:p>
        </w:tc>
        <w:tc>
          <w:tcPr>
            <w:tcW w:type="dxa" w:w="1234"/>
          </w:tcPr>
          <w:p>
            <w:r>
              <w:rPr>
                <w:rFonts w:ascii="Calibri" w:hAnsi="Calibri"/>
                <w:sz w:val="22"/>
              </w:rPr>
              <w:t>+0.90% (FY consensus)</w:t>
            </w:r>
          </w:p>
        </w:tc>
        <w:tc>
          <w:tcPr>
            <w:tcW w:type="dxa" w:w="1234"/>
          </w:tcPr>
          <w:p>
            <w:r>
              <w:rPr>
                <w:rFonts w:ascii="Calibri" w:hAnsi="Calibri"/>
                <w:sz w:val="22"/>
              </w:rPr>
              <w:t>Slightly below FY consensus trajectory</w:t>
            </w:r>
          </w:p>
        </w:tc>
      </w:tr>
      <w:tr>
        <w:tc>
          <w:tcPr>
            <w:tcW w:type="dxa" w:w="1234"/>
          </w:tcPr>
          <w:p>
            <w:r>
              <w:rPr>
                <w:rFonts w:ascii="Calibri" w:hAnsi="Calibri"/>
                <w:sz w:val="22"/>
              </w:rPr>
              <w:t>Domestic Churn Rate (%)</w:t>
            </w:r>
          </w:p>
        </w:tc>
        <w:tc>
          <w:tcPr>
            <w:tcW w:type="dxa" w:w="1234"/>
          </w:tcPr>
          <w:p>
            <w:r>
              <w:rPr>
                <w:rFonts w:ascii="Calibri" w:hAnsi="Calibri"/>
                <w:sz w:val="22"/>
              </w:rPr>
              <w:t>8.38%</w:t>
            </w:r>
          </w:p>
        </w:tc>
        <w:tc>
          <w:tcPr>
            <w:tcW w:type="dxa" w:w="1234"/>
          </w:tcPr>
          <w:p>
            <w:r>
              <w:rPr>
                <w:rFonts w:ascii="Calibri" w:hAnsi="Calibri"/>
                <w:sz w:val="22"/>
              </w:rPr>
              <w:t>4.01%</w:t>
            </w:r>
          </w:p>
        </w:tc>
        <w:tc>
          <w:tcPr>
            <w:tcW w:type="dxa" w:w="1234"/>
          </w:tcPr>
          <w:p>
            <w:r>
              <w:rPr>
                <w:rFonts w:ascii="Calibri" w:hAnsi="Calibri"/>
                <w:sz w:val="22"/>
              </w:rPr>
              <w:t>7.21%</w:t>
            </w:r>
          </w:p>
        </w:tc>
        <w:tc>
          <w:tcPr>
            <w:tcW w:type="dxa" w:w="1234"/>
          </w:tcPr>
          <w:p>
            <w:r>
              <w:rPr>
                <w:rFonts w:ascii="Calibri" w:hAnsi="Calibri"/>
                <w:sz w:val="22"/>
              </w:rPr>
              <w:t>+320 bps YoY</w:t>
            </w:r>
          </w:p>
        </w:tc>
        <w:tc>
          <w:tcPr>
            <w:tcW w:type="dxa" w:w="1234"/>
          </w:tcPr>
          <w:p>
            <w:r>
              <w:rPr>
                <w:rFonts w:ascii="Calibri" w:hAnsi="Calibri"/>
                <w:sz w:val="22"/>
              </w:rPr>
              <w:t>6.97% (FY consensus)</w:t>
            </w:r>
          </w:p>
        </w:tc>
        <w:tc>
          <w:tcPr>
            <w:tcW w:type="dxa" w:w="1234"/>
          </w:tcPr>
          <w:p>
            <w:r>
              <w:rPr>
                <w:rFonts w:ascii="Calibri" w:hAnsi="Calibri"/>
                <w:sz w:val="22"/>
              </w:rPr>
              <w:t>Slightly better than FY consensus run-rate</w:t>
            </w:r>
          </w:p>
        </w:tc>
      </w:tr>
      <w:tr>
        <w:tc>
          <w:tcPr>
            <w:tcW w:type="dxa" w:w="1234"/>
          </w:tcPr>
          <w:p>
            <w:r>
              <w:rPr>
                <w:rFonts w:ascii="Calibri" w:hAnsi="Calibri"/>
                <w:sz w:val="22"/>
              </w:rPr>
              <w:t>International Churn Rate (%)</w:t>
            </w:r>
          </w:p>
        </w:tc>
        <w:tc>
          <w:tcPr>
            <w:tcW w:type="dxa" w:w="1234"/>
          </w:tcPr>
          <w:p>
            <w:r>
              <w:rPr>
                <w:rFonts w:ascii="Calibri" w:hAnsi="Calibri"/>
                <w:sz w:val="22"/>
              </w:rPr>
              <w:t>6.77%</w:t>
            </w:r>
          </w:p>
        </w:tc>
        <w:tc>
          <w:tcPr>
            <w:tcW w:type="dxa" w:w="1234"/>
          </w:tcPr>
          <w:p>
            <w:r>
              <w:rPr>
                <w:rFonts w:ascii="Calibri" w:hAnsi="Calibri"/>
                <w:sz w:val="22"/>
              </w:rPr>
              <w:t>7.29%</w:t>
            </w:r>
          </w:p>
        </w:tc>
        <w:tc>
          <w:tcPr>
            <w:tcW w:type="dxa" w:w="1234"/>
          </w:tcPr>
          <w:p>
            <w:r>
              <w:rPr>
                <w:rFonts w:ascii="Calibri" w:hAnsi="Calibri"/>
                <w:sz w:val="22"/>
              </w:rPr>
              <w:t>7.20%</w:t>
            </w:r>
          </w:p>
        </w:tc>
        <w:tc>
          <w:tcPr>
            <w:tcW w:type="dxa" w:w="1234"/>
          </w:tcPr>
          <w:p>
            <w:r>
              <w:rPr>
                <w:rFonts w:ascii="Calibri" w:hAnsi="Calibri"/>
                <w:sz w:val="22"/>
              </w:rPr>
              <w:t>−09 bps YoY</w:t>
            </w:r>
          </w:p>
        </w:tc>
        <w:tc>
          <w:tcPr>
            <w:tcW w:type="dxa" w:w="1234"/>
          </w:tcPr>
          <w:p>
            <w:r>
              <w:rPr>
                <w:rFonts w:ascii="Calibri" w:hAnsi="Calibri"/>
                <w:sz w:val="22"/>
              </w:rPr>
              <w:t>6.91% (FY consensus)</w:t>
            </w:r>
          </w:p>
        </w:tc>
        <w:tc>
          <w:tcPr>
            <w:tcW w:type="dxa" w:w="1234"/>
          </w:tcPr>
          <w:p>
            <w:r>
              <w:rPr>
                <w:rFonts w:ascii="Calibri" w:hAnsi="Calibri"/>
                <w:sz w:val="22"/>
              </w:rPr>
              <w:t>Slightly above FY consensus run-rate</w:t>
            </w:r>
          </w:p>
        </w:tc>
      </w:tr>
      <w:tr>
        <w:tc>
          <w:tcPr>
            <w:tcW w:type="dxa" w:w="1234"/>
          </w:tcPr>
          <w:p>
            <w:r>
              <w:rPr>
                <w:rFonts w:ascii="Calibri" w:hAnsi="Calibri"/>
                <w:sz w:val="22"/>
              </w:rPr>
              <w:t>Site Development Revenue ($M)</w:t>
            </w:r>
          </w:p>
        </w:tc>
        <w:tc>
          <w:tcPr>
            <w:tcW w:type="dxa" w:w="1234"/>
          </w:tcPr>
          <w:p>
            <w:r>
              <w:rPr>
                <w:rFonts w:ascii="Calibri" w:hAnsi="Calibri"/>
                <w:sz w:val="22"/>
              </w:rPr>
              <w:t>$47.3M</w:t>
            </w:r>
          </w:p>
        </w:tc>
        <w:tc>
          <w:tcPr>
            <w:tcW w:type="dxa" w:w="1234"/>
          </w:tcPr>
          <w:p>
            <w:r>
              <w:rPr>
                <w:rFonts w:ascii="Calibri" w:hAnsi="Calibri"/>
                <w:sz w:val="22"/>
              </w:rPr>
              <w:t>$67.2M</w:t>
            </w:r>
          </w:p>
        </w:tc>
        <w:tc>
          <w:tcPr>
            <w:tcW w:type="dxa" w:w="1234"/>
          </w:tcPr>
          <w:p>
            <w:r>
              <w:rPr>
                <w:rFonts w:ascii="Calibri" w:hAnsi="Calibri"/>
                <w:sz w:val="22"/>
              </w:rPr>
              <w:t>$50.4M</w:t>
            </w:r>
          </w:p>
        </w:tc>
        <w:tc>
          <w:tcPr>
            <w:tcW w:type="dxa" w:w="1234"/>
          </w:tcPr>
          <w:p>
            <w:r>
              <w:rPr>
                <w:rFonts w:ascii="Calibri" w:hAnsi="Calibri"/>
                <w:sz w:val="22"/>
              </w:rPr>
              <w:t>−25.0%</w:t>
            </w:r>
          </w:p>
        </w:tc>
        <w:tc>
          <w:tcPr>
            <w:tcW w:type="dxa" w:w="1234"/>
          </w:tcPr>
          <w:p>
            <w:r>
              <w:rPr>
                <w:rFonts w:ascii="Calibri" w:hAnsi="Calibri"/>
                <w:sz w:val="22"/>
              </w:rPr>
              <w:t>$200.0M (FY midpoint)</w:t>
            </w:r>
          </w:p>
        </w:tc>
        <w:tc>
          <w:tcPr>
            <w:tcW w:type="dxa" w:w="1234"/>
          </w:tcPr>
          <w:p>
            <w:r>
              <w:rPr>
                <w:rFonts w:ascii="Calibri" w:hAnsi="Calibri"/>
                <w:sz w:val="22"/>
              </w:rPr>
              <w:t>~+0.7% vs. implied quarterly run-rate</w:t>
            </w:r>
          </w:p>
        </w:tc>
      </w:tr>
    </w:tbl>
    <w:p>
      <w:r>
        <w:rPr>
          <w:rFonts w:ascii="Calibri" w:hAnsi="Calibri"/>
          <w:color w:val="525866"/>
          <w:sz w:val="22"/>
        </w:rPr>
        <w:t>Source: Visible Alpha Consensus and Actuals Data. FY2026 guidance midpoints from SBAC Q1 2026 Earnings Release (April 29, 2026).</w:t>
      </w:r>
    </w:p>
    <w:p>
      <w:pPr>
        <w:pStyle w:val="Heading3"/>
      </w:pPr>
      <w:r>
        <w:rPr>
          <w:rFonts w:ascii="Calibri" w:hAnsi="Calibri"/>
          <w:b/>
          <w:color w:val="3B4259"/>
          <w:sz w:val="24"/>
        </w:rPr>
        <w:t>Table 2 — Beat/Miss History: Last 8 Quarters (Top 2 KPIs)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AFFO/Share</w:t>
            </w:r>
          </w:p>
        </w:tc>
        <w:tc>
          <w:tcPr>
            <w:tcW w:type="dxa" w:w="1440"/>
          </w:tcPr>
          <w:p>
            <w:r>
              <w:rPr>
                <w:rFonts w:ascii="Calibri" w:hAnsi="Calibri"/>
                <w:sz w:val="22"/>
              </w:rPr>
              <w:t>$3.01</w:t>
            </w:r>
          </w:p>
        </w:tc>
        <w:tc>
          <w:tcPr>
            <w:tcW w:type="dxa" w:w="1440"/>
          </w:tcPr>
          <w:p>
            <w:r>
              <w:rPr>
                <w:rFonts w:ascii="Calibri" w:hAnsi="Calibri"/>
                <w:sz w:val="22"/>
              </w:rPr>
              <w:t>$3.00</w:t>
            </w:r>
          </w:p>
        </w:tc>
        <w:tc>
          <w:tcPr>
            <w:tcW w:type="dxa" w:w="1440"/>
          </w:tcPr>
          <w:p>
            <w:r>
              <w:rPr>
                <w:rFonts w:ascii="Calibri" w:hAnsi="Calibri"/>
                <w:sz w:val="22"/>
              </w:rPr>
              <w:t>+0.3%</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Total Revenue</w:t>
            </w:r>
          </w:p>
        </w:tc>
        <w:tc>
          <w:tcPr>
            <w:tcW w:type="dxa" w:w="1440"/>
          </w:tcPr>
          <w:p>
            <w:r>
              <w:rPr>
                <w:rFonts w:ascii="Calibri" w:hAnsi="Calibri"/>
                <w:sz w:val="22"/>
              </w:rPr>
              <w:t>$703.4M</w:t>
            </w:r>
          </w:p>
        </w:tc>
        <w:tc>
          <w:tcPr>
            <w:tcW w:type="dxa" w:w="1440"/>
          </w:tcPr>
          <w:p>
            <w:r>
              <w:rPr>
                <w:rFonts w:ascii="Calibri" w:hAnsi="Calibri"/>
                <w:sz w:val="22"/>
              </w:rPr>
              <w:t>$697.3M</w:t>
            </w:r>
          </w:p>
        </w:tc>
        <w:tc>
          <w:tcPr>
            <w:tcW w:type="dxa" w:w="1440"/>
          </w:tcPr>
          <w:p>
            <w:r>
              <w:rPr>
                <w:rFonts w:ascii="Calibri" w:hAnsi="Calibri"/>
                <w:sz w:val="22"/>
              </w:rPr>
              <w:t>+0.9%</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AFFO/Share</w:t>
            </w:r>
          </w:p>
        </w:tc>
        <w:tc>
          <w:tcPr>
            <w:tcW w:type="dxa" w:w="1440"/>
          </w:tcPr>
          <w:p>
            <w:r>
              <w:rPr>
                <w:rFonts w:ascii="Calibri" w:hAnsi="Calibri"/>
                <w:sz w:val="22"/>
              </w:rPr>
              <w:t>$3.18</w:t>
            </w:r>
          </w:p>
        </w:tc>
        <w:tc>
          <w:tcPr>
            <w:tcW w:type="dxa" w:w="1440"/>
          </w:tcPr>
          <w:p>
            <w:r>
              <w:rPr>
                <w:rFonts w:ascii="Calibri" w:hAnsi="Calibri"/>
                <w:sz w:val="22"/>
              </w:rPr>
              <w:t>$3.27</w:t>
            </w:r>
          </w:p>
        </w:tc>
        <w:tc>
          <w:tcPr>
            <w:tcW w:type="dxa" w:w="1440"/>
          </w:tcPr>
          <w:p>
            <w:r>
              <w:rPr>
                <w:rFonts w:ascii="Calibri" w:hAnsi="Calibri"/>
                <w:sz w:val="22"/>
              </w:rPr>
              <w:t>−2.8%</w:t>
            </w:r>
          </w:p>
        </w:tc>
        <w:tc>
          <w:tcPr>
            <w:tcW w:type="dxa" w:w="1440"/>
          </w:tcPr>
          <w:p>
            <w:r>
              <w:rPr>
                <w:rFonts w:ascii="Calibri" w:hAnsi="Calibri"/>
                <w:b/>
                <w:color w:val="E5484D"/>
                <w:sz w:val="22"/>
              </w:rPr>
              <w:t>Miss</w:t>
            </w:r>
          </w:p>
        </w:tc>
      </w:tr>
      <w:tr>
        <w:tc>
          <w:tcPr>
            <w:tcW w:type="dxa" w:w="1440"/>
          </w:tcPr>
          <w:p>
            <w:r>
              <w:rPr>
                <w:rFonts w:ascii="Calibri" w:hAnsi="Calibri"/>
                <w:sz w:val="22"/>
              </w:rPr>
              <w:t>Q4 2025</w:t>
            </w:r>
          </w:p>
        </w:tc>
        <w:tc>
          <w:tcPr>
            <w:tcW w:type="dxa" w:w="1440"/>
          </w:tcPr>
          <w:p>
            <w:r>
              <w:rPr>
                <w:rFonts w:ascii="Calibri" w:hAnsi="Calibri"/>
                <w:sz w:val="22"/>
              </w:rPr>
              <w:t>Total Revenue</w:t>
            </w:r>
          </w:p>
        </w:tc>
        <w:tc>
          <w:tcPr>
            <w:tcW w:type="dxa" w:w="1440"/>
          </w:tcPr>
          <w:p>
            <w:r>
              <w:rPr>
                <w:rFonts w:ascii="Calibri" w:hAnsi="Calibri"/>
                <w:sz w:val="22"/>
              </w:rPr>
              <w:t>$719.6M</w:t>
            </w:r>
          </w:p>
        </w:tc>
        <w:tc>
          <w:tcPr>
            <w:tcW w:type="dxa" w:w="1440"/>
          </w:tcPr>
          <w:p>
            <w:r>
              <w:rPr>
                <w:rFonts w:ascii="Calibri" w:hAnsi="Calibri"/>
                <w:sz w:val="22"/>
              </w:rPr>
              <w:t>$727.7M</w:t>
            </w:r>
          </w:p>
        </w:tc>
        <w:tc>
          <w:tcPr>
            <w:tcW w:type="dxa" w:w="1440"/>
          </w:tcPr>
          <w:p>
            <w:r>
              <w:rPr>
                <w:rFonts w:ascii="Calibri" w:hAnsi="Calibri"/>
                <w:sz w:val="22"/>
              </w:rPr>
              <w:t>−1.1%</w:t>
            </w:r>
          </w:p>
        </w:tc>
        <w:tc>
          <w:tcPr>
            <w:tcW w:type="dxa" w:w="1440"/>
          </w:tcPr>
          <w:p>
            <w:r>
              <w:rPr>
                <w:rFonts w:ascii="Calibri" w:hAnsi="Calibri"/>
                <w:b/>
                <w:color w:val="E5484D"/>
                <w:sz w:val="22"/>
              </w:rPr>
              <w:t>Miss</w:t>
            </w:r>
          </w:p>
        </w:tc>
      </w:tr>
      <w:tr>
        <w:tc>
          <w:tcPr>
            <w:tcW w:type="dxa" w:w="1440"/>
          </w:tcPr>
          <w:p>
            <w:r>
              <w:rPr>
                <w:rFonts w:ascii="Calibri" w:hAnsi="Calibri"/>
                <w:sz w:val="22"/>
              </w:rPr>
              <w:t>Q3 2025</w:t>
            </w:r>
          </w:p>
        </w:tc>
        <w:tc>
          <w:tcPr>
            <w:tcW w:type="dxa" w:w="1440"/>
          </w:tcPr>
          <w:p>
            <w:r>
              <w:rPr>
                <w:rFonts w:ascii="Calibri" w:hAnsi="Calibri"/>
                <w:sz w:val="22"/>
              </w:rPr>
              <w:t>AFFO/Share</w:t>
            </w:r>
          </w:p>
        </w:tc>
        <w:tc>
          <w:tcPr>
            <w:tcW w:type="dxa" w:w="1440"/>
          </w:tcPr>
          <w:p>
            <w:r>
              <w:rPr>
                <w:rFonts w:ascii="Calibri" w:hAnsi="Calibri"/>
                <w:sz w:val="22"/>
              </w:rPr>
              <w:t>$3.28</w:t>
            </w:r>
          </w:p>
        </w:tc>
        <w:tc>
          <w:tcPr>
            <w:tcW w:type="dxa" w:w="1440"/>
          </w:tcPr>
          <w:p>
            <w:r>
              <w:rPr>
                <w:rFonts w:ascii="Calibri" w:hAnsi="Calibri"/>
                <w:sz w:val="22"/>
              </w:rPr>
              <w:t>$3.22</w:t>
            </w:r>
          </w:p>
        </w:tc>
        <w:tc>
          <w:tcPr>
            <w:tcW w:type="dxa" w:w="1440"/>
          </w:tcPr>
          <w:p>
            <w:r>
              <w:rPr>
                <w:rFonts w:ascii="Calibri" w:hAnsi="Calibri"/>
                <w:sz w:val="22"/>
              </w:rPr>
              <w:t>+1.9%</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Total Revenue</w:t>
            </w:r>
          </w:p>
        </w:tc>
        <w:tc>
          <w:tcPr>
            <w:tcW w:type="dxa" w:w="1440"/>
          </w:tcPr>
          <w:p>
            <w:r>
              <w:rPr>
                <w:rFonts w:ascii="Calibri" w:hAnsi="Calibri"/>
                <w:sz w:val="22"/>
              </w:rPr>
              <w:t>$732.3M</w:t>
            </w:r>
          </w:p>
        </w:tc>
        <w:tc>
          <w:tcPr>
            <w:tcW w:type="dxa" w:w="1440"/>
          </w:tcPr>
          <w:p>
            <w:r>
              <w:rPr>
                <w:rFonts w:ascii="Calibri" w:hAnsi="Calibri"/>
                <w:sz w:val="22"/>
              </w:rPr>
              <w:t>$713.5M</w:t>
            </w:r>
          </w:p>
        </w:tc>
        <w:tc>
          <w:tcPr>
            <w:tcW w:type="dxa" w:w="1440"/>
          </w:tcPr>
          <w:p>
            <w:r>
              <w:rPr>
                <w:rFonts w:ascii="Calibri" w:hAnsi="Calibri"/>
                <w:sz w:val="22"/>
              </w:rPr>
              <w:t>+2.6%</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AFFO/Share</w:t>
            </w:r>
          </w:p>
        </w:tc>
        <w:tc>
          <w:tcPr>
            <w:tcW w:type="dxa" w:w="1440"/>
          </w:tcPr>
          <w:p>
            <w:r>
              <w:rPr>
                <w:rFonts w:ascii="Calibri" w:hAnsi="Calibri"/>
                <w:sz w:val="22"/>
              </w:rPr>
              <w:t>$3.16</w:t>
            </w:r>
          </w:p>
        </w:tc>
        <w:tc>
          <w:tcPr>
            <w:tcW w:type="dxa" w:w="1440"/>
          </w:tcPr>
          <w:p>
            <w:r>
              <w:rPr>
                <w:rFonts w:ascii="Calibri" w:hAnsi="Calibri"/>
                <w:sz w:val="22"/>
              </w:rPr>
              <w:t>$3.11</w:t>
            </w:r>
          </w:p>
        </w:tc>
        <w:tc>
          <w:tcPr>
            <w:tcW w:type="dxa" w:w="1440"/>
          </w:tcPr>
          <w:p>
            <w:r>
              <w:rPr>
                <w:rFonts w:ascii="Calibri" w:hAnsi="Calibri"/>
                <w:sz w:val="22"/>
              </w:rPr>
              <w:t>+1.6%</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Total Revenue</w:t>
            </w:r>
          </w:p>
        </w:tc>
        <w:tc>
          <w:tcPr>
            <w:tcW w:type="dxa" w:w="1440"/>
          </w:tcPr>
          <w:p>
            <w:r>
              <w:rPr>
                <w:rFonts w:ascii="Calibri" w:hAnsi="Calibri"/>
                <w:sz w:val="22"/>
              </w:rPr>
              <w:t>$699.0M</w:t>
            </w:r>
          </w:p>
        </w:tc>
        <w:tc>
          <w:tcPr>
            <w:tcW w:type="dxa" w:w="1440"/>
          </w:tcPr>
          <w:p>
            <w:r>
              <w:rPr>
                <w:rFonts w:ascii="Calibri" w:hAnsi="Calibri"/>
                <w:sz w:val="22"/>
              </w:rPr>
              <w:t>$671.8M</w:t>
            </w:r>
          </w:p>
        </w:tc>
        <w:tc>
          <w:tcPr>
            <w:tcW w:type="dxa" w:w="1440"/>
          </w:tcPr>
          <w:p>
            <w:r>
              <w:rPr>
                <w:rFonts w:ascii="Calibri" w:hAnsi="Calibri"/>
                <w:sz w:val="22"/>
              </w:rPr>
              <w:t>+4.0%</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AFFO/Share</w:t>
            </w:r>
          </w:p>
        </w:tc>
        <w:tc>
          <w:tcPr>
            <w:tcW w:type="dxa" w:w="1440"/>
          </w:tcPr>
          <w:p>
            <w:r>
              <w:rPr>
                <w:rFonts w:ascii="Calibri" w:hAnsi="Calibri"/>
                <w:sz w:val="22"/>
              </w:rPr>
              <w:t>$3.16</w:t>
            </w:r>
          </w:p>
        </w:tc>
        <w:tc>
          <w:tcPr>
            <w:tcW w:type="dxa" w:w="1440"/>
          </w:tcPr>
          <w:p>
            <w:r>
              <w:rPr>
                <w:rFonts w:ascii="Calibri" w:hAnsi="Calibri"/>
                <w:sz w:val="22"/>
              </w:rPr>
              <w:t>$3.15</w:t>
            </w:r>
          </w:p>
        </w:tc>
        <w:tc>
          <w:tcPr>
            <w:tcW w:type="dxa" w:w="1440"/>
          </w:tcPr>
          <w:p>
            <w:r>
              <w:rPr>
                <w:rFonts w:ascii="Calibri" w:hAnsi="Calibri"/>
                <w:sz w:val="22"/>
              </w:rPr>
              <w:t>+0.3%</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Total Revenue</w:t>
            </w:r>
          </w:p>
        </w:tc>
        <w:tc>
          <w:tcPr>
            <w:tcW w:type="dxa" w:w="1440"/>
          </w:tcPr>
          <w:p>
            <w:r>
              <w:rPr>
                <w:rFonts w:ascii="Calibri" w:hAnsi="Calibri"/>
                <w:sz w:val="22"/>
              </w:rPr>
              <w:t>$664.2M</w:t>
            </w:r>
          </w:p>
        </w:tc>
        <w:tc>
          <w:tcPr>
            <w:tcW w:type="dxa" w:w="1440"/>
          </w:tcPr>
          <w:p>
            <w:r>
              <w:rPr>
                <w:rFonts w:ascii="Calibri" w:hAnsi="Calibri"/>
                <w:sz w:val="22"/>
              </w:rPr>
              <w:t>$661.8M</w:t>
            </w:r>
          </w:p>
        </w:tc>
        <w:tc>
          <w:tcPr>
            <w:tcW w:type="dxa" w:w="1440"/>
          </w:tcPr>
          <w:p>
            <w:r>
              <w:rPr>
                <w:rFonts w:ascii="Calibri" w:hAnsi="Calibri"/>
                <w:sz w:val="22"/>
              </w:rPr>
              <w:t>+0.4%</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AFFO/Share</w:t>
            </w:r>
          </w:p>
        </w:tc>
        <w:tc>
          <w:tcPr>
            <w:tcW w:type="dxa" w:w="1440"/>
          </w:tcPr>
          <w:p>
            <w:r>
              <w:rPr>
                <w:rFonts w:ascii="Calibri" w:hAnsi="Calibri"/>
                <w:sz w:val="22"/>
              </w:rPr>
              <w:t>$3.46</w:t>
            </w:r>
          </w:p>
        </w:tc>
        <w:tc>
          <w:tcPr>
            <w:tcW w:type="dxa" w:w="1440"/>
          </w:tcPr>
          <w:p>
            <w:r>
              <w:rPr>
                <w:rFonts w:ascii="Calibri" w:hAnsi="Calibri"/>
                <w:sz w:val="22"/>
              </w:rPr>
              <w:t>$3.39</w:t>
            </w:r>
          </w:p>
        </w:tc>
        <w:tc>
          <w:tcPr>
            <w:tcW w:type="dxa" w:w="1440"/>
          </w:tcPr>
          <w:p>
            <w:r>
              <w:rPr>
                <w:rFonts w:ascii="Calibri" w:hAnsi="Calibri"/>
                <w:sz w:val="22"/>
              </w:rPr>
              <w:t>+2.1%</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Total Revenue</w:t>
            </w:r>
          </w:p>
        </w:tc>
        <w:tc>
          <w:tcPr>
            <w:tcW w:type="dxa" w:w="1440"/>
          </w:tcPr>
          <w:p>
            <w:r>
              <w:rPr>
                <w:rFonts w:ascii="Calibri" w:hAnsi="Calibri"/>
                <w:sz w:val="22"/>
              </w:rPr>
              <w:t>$693.7M</w:t>
            </w:r>
          </w:p>
        </w:tc>
        <w:tc>
          <w:tcPr>
            <w:tcW w:type="dxa" w:w="1440"/>
          </w:tcPr>
          <w:p>
            <w:r>
              <w:rPr>
                <w:rFonts w:ascii="Calibri" w:hAnsi="Calibri"/>
                <w:sz w:val="22"/>
              </w:rPr>
              <w:t>$681.9M</w:t>
            </w:r>
          </w:p>
        </w:tc>
        <w:tc>
          <w:tcPr>
            <w:tcW w:type="dxa" w:w="1440"/>
          </w:tcPr>
          <w:p>
            <w:r>
              <w:rPr>
                <w:rFonts w:ascii="Calibri" w:hAnsi="Calibri"/>
                <w:sz w:val="22"/>
              </w:rPr>
              <w:t>+1.7%</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AFFO/Share</w:t>
            </w:r>
          </w:p>
        </w:tc>
        <w:tc>
          <w:tcPr>
            <w:tcW w:type="dxa" w:w="1440"/>
          </w:tcPr>
          <w:p>
            <w:r>
              <w:rPr>
                <w:rFonts w:ascii="Calibri" w:hAnsi="Calibri"/>
                <w:sz w:val="22"/>
              </w:rPr>
              <w:t>$3.31</w:t>
            </w:r>
          </w:p>
        </w:tc>
        <w:tc>
          <w:tcPr>
            <w:tcW w:type="dxa" w:w="1440"/>
          </w:tcPr>
          <w:p>
            <w:r>
              <w:rPr>
                <w:rFonts w:ascii="Calibri" w:hAnsi="Calibri"/>
                <w:sz w:val="22"/>
              </w:rPr>
              <w:t>$3.32</w:t>
            </w:r>
          </w:p>
        </w:tc>
        <w:tc>
          <w:tcPr>
            <w:tcW w:type="dxa" w:w="1440"/>
          </w:tcPr>
          <w:p>
            <w:r>
              <w:rPr>
                <w:rFonts w:ascii="Calibri" w:hAnsi="Calibri"/>
                <w:sz w:val="22"/>
              </w:rPr>
              <w:t>−0.3%</w:t>
            </w:r>
          </w:p>
        </w:tc>
        <w:tc>
          <w:tcPr>
            <w:tcW w:type="dxa" w:w="1440"/>
          </w:tcPr>
          <w:p>
            <w:r>
              <w:rPr>
                <w:rFonts w:ascii="Calibri" w:hAnsi="Calibri"/>
                <w:b/>
                <w:color w:val="002FA7"/>
                <w:sz w:val="22"/>
              </w:rPr>
              <w:t>In-Line</w:t>
            </w:r>
          </w:p>
        </w:tc>
      </w:tr>
      <w:tr>
        <w:tc>
          <w:tcPr>
            <w:tcW w:type="dxa" w:w="1440"/>
          </w:tcPr>
          <w:p>
            <w:r>
              <w:rPr>
                <w:rFonts w:ascii="Calibri" w:hAnsi="Calibri"/>
                <w:sz w:val="22"/>
              </w:rPr>
              <w:t>Q3 2024</w:t>
            </w:r>
          </w:p>
        </w:tc>
        <w:tc>
          <w:tcPr>
            <w:tcW w:type="dxa" w:w="1440"/>
          </w:tcPr>
          <w:p>
            <w:r>
              <w:rPr>
                <w:rFonts w:ascii="Calibri" w:hAnsi="Calibri"/>
                <w:sz w:val="22"/>
              </w:rPr>
              <w:t>Total Revenue</w:t>
            </w:r>
          </w:p>
        </w:tc>
        <w:tc>
          <w:tcPr>
            <w:tcW w:type="dxa" w:w="1440"/>
          </w:tcPr>
          <w:p>
            <w:r>
              <w:rPr>
                <w:rFonts w:ascii="Calibri" w:hAnsi="Calibri"/>
                <w:sz w:val="22"/>
              </w:rPr>
              <w:t>$667.6M</w:t>
            </w:r>
          </w:p>
        </w:tc>
        <w:tc>
          <w:tcPr>
            <w:tcW w:type="dxa" w:w="1440"/>
          </w:tcPr>
          <w:p>
            <w:r>
              <w:rPr>
                <w:rFonts w:ascii="Calibri" w:hAnsi="Calibri"/>
                <w:sz w:val="22"/>
              </w:rPr>
              <w:t>$669.2M</w:t>
            </w:r>
          </w:p>
        </w:tc>
        <w:tc>
          <w:tcPr>
            <w:tcW w:type="dxa" w:w="1440"/>
          </w:tcPr>
          <w:p>
            <w:r>
              <w:rPr>
                <w:rFonts w:ascii="Calibri" w:hAnsi="Calibri"/>
                <w:sz w:val="22"/>
              </w:rPr>
              <w:t>−0.2%</w:t>
            </w:r>
          </w:p>
        </w:tc>
        <w:tc>
          <w:tcPr>
            <w:tcW w:type="dxa" w:w="1440"/>
          </w:tcPr>
          <w:p>
            <w:r>
              <w:rPr>
                <w:rFonts w:ascii="Calibri" w:hAnsi="Calibri"/>
                <w:b/>
                <w:color w:val="002FA7"/>
                <w:sz w:val="22"/>
              </w:rPr>
              <w:t>In-Line</w:t>
            </w:r>
          </w:p>
        </w:tc>
      </w:tr>
    </w:tbl>
    <w:p>
      <w:r>
        <w:rPr>
          <w:rFonts w:ascii="Calibri" w:hAnsi="Calibri"/>
          <w:i/>
          <w:color w:val="525866"/>
          <w:sz w:val="22"/>
        </w:rPr>
        <w:t xml:space="preserve">Source: Visible Alpha Consensus and Actuals Data. </w:t>
      </w:r>
      <w:r>
        <w:rPr>
          <w:rFonts w:ascii="Calibri" w:hAnsi="Calibri"/>
          <w:color w:val="525866"/>
          <w:sz w:val="22"/>
        </w:rPr>
        <w:t>Pattern: SBAC has beaten or matched AFFO/Share consensus in 7 of the last 8 quarters, with the lone miss in Q4 2025 driven by elevated interest costs from legacy debt refinancing — a dynamic that persists into Q2 2026 but is well-understood by the street.</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was raised across all metrics at Q1 2026 earnings (April 29) and has not been formally revised since; tone at the May JP Morgan conference was constructive, with the CFO reiterating the long-term U.S. growth framework and confirming Verizon as the most active carrier in 2026.</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Apr 29)</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Total Revenue (FY2026)</w:t>
            </w:r>
          </w:p>
        </w:tc>
        <w:tc>
          <w:tcPr>
            <w:tcW w:type="dxa" w:w="1728"/>
          </w:tcPr>
          <w:p>
            <w:r>
              <w:rPr>
                <w:rFonts w:ascii="Calibri" w:hAnsi="Calibri"/>
                <w:sz w:val="22"/>
              </w:rPr>
              <w:t>$2,839–$2,884M (mid: $2,861.5M)</w:t>
            </w:r>
          </w:p>
        </w:tc>
        <w:tc>
          <w:tcPr>
            <w:tcW w:type="dxa" w:w="1728"/>
          </w:tcPr>
          <w:p>
            <w:r>
              <w:rPr>
                <w:rFonts w:ascii="Calibri" w:hAnsi="Calibri"/>
                <w:sz w:val="22"/>
              </w:rPr>
              <w:t>—</w:t>
            </w:r>
          </w:p>
        </w:tc>
        <w:tc>
          <w:tcPr>
            <w:tcW w:type="dxa" w:w="1728"/>
          </w:tcPr>
          <w:p>
            <w:r>
              <w:rPr>
                <w:rFonts w:ascii="Calibri" w:hAnsi="Calibri"/>
                <w:sz w:val="22"/>
              </w:rPr>
              <w:t>$2,859.9M</w:t>
            </w:r>
          </w:p>
        </w:tc>
        <w:tc>
          <w:tcPr>
            <w:tcW w:type="dxa" w:w="1728"/>
          </w:tcPr>
          <w:p>
            <w:r>
              <w:rPr>
                <w:rFonts w:ascii="Calibri" w:hAnsi="Calibri"/>
                <w:sz w:val="22"/>
              </w:rPr>
              <w:t>No post-earnings revision; consensus tracking near midpoint</w:t>
            </w:r>
          </w:p>
        </w:tc>
      </w:tr>
      <w:tr>
        <w:tc>
          <w:tcPr>
            <w:tcW w:type="dxa" w:w="1728"/>
          </w:tcPr>
          <w:p>
            <w:r>
              <w:rPr>
                <w:rFonts w:ascii="Calibri" w:hAnsi="Calibri"/>
                <w:sz w:val="22"/>
              </w:rPr>
              <w:t>Adjusted EBITDA (FY2026)</w:t>
            </w:r>
          </w:p>
        </w:tc>
        <w:tc>
          <w:tcPr>
            <w:tcW w:type="dxa" w:w="1728"/>
          </w:tcPr>
          <w:p>
            <w:r>
              <w:rPr>
                <w:rFonts w:ascii="Calibri" w:hAnsi="Calibri"/>
                <w:sz w:val="22"/>
              </w:rPr>
              <w:t>$1,921–$1,941M (mid: $1,931.0M)</w:t>
            </w:r>
          </w:p>
        </w:tc>
        <w:tc>
          <w:tcPr>
            <w:tcW w:type="dxa" w:w="1728"/>
          </w:tcPr>
          <w:p>
            <w:r>
              <w:rPr>
                <w:rFonts w:ascii="Calibri" w:hAnsi="Calibri"/>
                <w:sz w:val="22"/>
              </w:rPr>
              <w:t>—</w:t>
            </w:r>
          </w:p>
        </w:tc>
        <w:tc>
          <w:tcPr>
            <w:tcW w:type="dxa" w:w="1728"/>
          </w:tcPr>
          <w:p>
            <w:r>
              <w:rPr>
                <w:rFonts w:ascii="Calibri" w:hAnsi="Calibri"/>
                <w:sz w:val="22"/>
              </w:rPr>
              <w:t>$1,934.7M</w:t>
            </w:r>
          </w:p>
        </w:tc>
        <w:tc>
          <w:tcPr>
            <w:tcW w:type="dxa" w:w="1728"/>
          </w:tcPr>
          <w:p>
            <w:r>
              <w:rPr>
                <w:rFonts w:ascii="Calibri" w:hAnsi="Calibri"/>
                <w:sz w:val="22"/>
              </w:rPr>
              <w:t>No post-earnings revision; consensus slightly above midpoint</w:t>
            </w:r>
          </w:p>
        </w:tc>
      </w:tr>
      <w:tr>
        <w:tc>
          <w:tcPr>
            <w:tcW w:type="dxa" w:w="1728"/>
          </w:tcPr>
          <w:p>
            <w:r>
              <w:rPr>
                <w:rFonts w:ascii="Calibri" w:hAnsi="Calibri"/>
                <w:sz w:val="22"/>
              </w:rPr>
              <w:t>AFFO per Share (FY2026)</w:t>
            </w:r>
          </w:p>
        </w:tc>
        <w:tc>
          <w:tcPr>
            <w:tcW w:type="dxa" w:w="1728"/>
          </w:tcPr>
          <w:p>
            <w:r>
              <w:rPr>
                <w:rFonts w:ascii="Calibri" w:hAnsi="Calibri"/>
                <w:sz w:val="22"/>
              </w:rPr>
              <w:t>$11.93–$12.38 (mid: $12.155)</w:t>
            </w:r>
          </w:p>
        </w:tc>
        <w:tc>
          <w:tcPr>
            <w:tcW w:type="dxa" w:w="1728"/>
          </w:tcPr>
          <w:p>
            <w:r>
              <w:rPr>
                <w:rFonts w:ascii="Calibri" w:hAnsi="Calibri"/>
                <w:sz w:val="22"/>
              </w:rPr>
              <w:t>—</w:t>
            </w:r>
          </w:p>
        </w:tc>
        <w:tc>
          <w:tcPr>
            <w:tcW w:type="dxa" w:w="1728"/>
          </w:tcPr>
          <w:p>
            <w:r>
              <w:rPr>
                <w:rFonts w:ascii="Calibri" w:hAnsi="Calibri"/>
                <w:sz w:val="22"/>
              </w:rPr>
              <w:t>$12.19</w:t>
            </w:r>
          </w:p>
        </w:tc>
        <w:tc>
          <w:tcPr>
            <w:tcW w:type="dxa" w:w="1728"/>
          </w:tcPr>
          <w:p>
            <w:r>
              <w:rPr>
                <w:rFonts w:ascii="Calibri" w:hAnsi="Calibri"/>
                <w:sz w:val="22"/>
              </w:rPr>
              <w:t>No post-earnings revision; consensus slightly above midpoint</w:t>
            </w:r>
          </w:p>
        </w:tc>
      </w:tr>
      <w:tr>
        <w:tc>
          <w:tcPr>
            <w:tcW w:type="dxa" w:w="1728"/>
          </w:tcPr>
          <w:p>
            <w:r>
              <w:rPr>
                <w:rFonts w:ascii="Calibri" w:hAnsi="Calibri"/>
                <w:sz w:val="22"/>
              </w:rPr>
              <w:t>Site Development Revenue (FY2026)</w:t>
            </w:r>
          </w:p>
        </w:tc>
        <w:tc>
          <w:tcPr>
            <w:tcW w:type="dxa" w:w="1728"/>
          </w:tcPr>
          <w:p>
            <w:r>
              <w:rPr>
                <w:rFonts w:ascii="Calibri" w:hAnsi="Calibri"/>
                <w:sz w:val="22"/>
              </w:rPr>
              <w:t>$190–$210M (mid: $200.0M)</w:t>
            </w:r>
          </w:p>
        </w:tc>
        <w:tc>
          <w:tcPr>
            <w:tcW w:type="dxa" w:w="1728"/>
          </w:tcPr>
          <w:p>
            <w:r>
              <w:rPr>
                <w:rFonts w:ascii="Calibri" w:hAnsi="Calibri"/>
                <w:sz w:val="22"/>
              </w:rPr>
              <w:t>—</w:t>
            </w:r>
          </w:p>
        </w:tc>
        <w:tc>
          <w:tcPr>
            <w:tcW w:type="dxa" w:w="1728"/>
          </w:tcPr>
          <w:p>
            <w:r>
              <w:rPr>
                <w:rFonts w:ascii="Calibri" w:hAnsi="Calibri"/>
                <w:sz w:val="22"/>
              </w:rPr>
              <w:t>$199.5M</w:t>
            </w:r>
          </w:p>
        </w:tc>
        <w:tc>
          <w:tcPr>
            <w:tcW w:type="dxa" w:w="1728"/>
          </w:tcPr>
          <w:p>
            <w:r>
              <w:rPr>
                <w:rFonts w:ascii="Calibri" w:hAnsi="Calibri"/>
                <w:sz w:val="22"/>
              </w:rPr>
              <w:t>No post-earnings revision; consensus near midpoint</w:t>
            </w:r>
          </w:p>
        </w:tc>
      </w:tr>
      <w:tr>
        <w:tc>
          <w:tcPr>
            <w:tcW w:type="dxa" w:w="1728"/>
          </w:tcPr>
          <w:p>
            <w:r>
              <w:rPr>
                <w:rFonts w:ascii="Calibri" w:hAnsi="Calibri"/>
                <w:sz w:val="22"/>
              </w:rPr>
              <w:t>Domestic Organic Leasing Growth (FY2026)</w:t>
            </w:r>
          </w:p>
        </w:tc>
        <w:tc>
          <w:tcPr>
            <w:tcW w:type="dxa" w:w="1728"/>
          </w:tcPr>
          <w:p>
            <w:r>
              <w:rPr>
                <w:rFonts w:ascii="Calibri" w:hAnsi="Calibri"/>
                <w:sz w:val="22"/>
              </w:rPr>
              <w:t>Steady activity expected; Sprint &amp; EchoStar churn unchanged</w:t>
            </w:r>
          </w:p>
        </w:tc>
        <w:tc>
          <w:tcPr>
            <w:tcW w:type="dxa" w:w="1728"/>
          </w:tcPr>
          <w:p>
            <w:r>
              <w:rPr>
                <w:rFonts w:ascii="Calibri" w:hAnsi="Calibri"/>
                <w:sz w:val="22"/>
              </w:rPr>
              <w:t>—</w:t>
            </w:r>
          </w:p>
        </w:tc>
        <w:tc>
          <w:tcPr>
            <w:tcW w:type="dxa" w:w="1728"/>
          </w:tcPr>
          <w:p>
            <w:r>
              <w:rPr>
                <w:rFonts w:ascii="Calibri" w:hAnsi="Calibri"/>
                <w:sz w:val="22"/>
              </w:rPr>
              <w:t>−2.51% (FY consensus)</w:t>
            </w:r>
          </w:p>
        </w:tc>
        <w:tc>
          <w:tcPr>
            <w:tcW w:type="dxa" w:w="1728"/>
          </w:tcPr>
          <w:p>
            <w:r>
              <w:rPr>
                <w:rFonts w:ascii="Calibri" w:hAnsi="Calibri"/>
                <w:sz w:val="22"/>
              </w:rPr>
              <w:t>CFO at JPM (May 18): Verizon most active carrier; T-Mobile stepped down; AT&amp;T MLA generating no new business currently</w:t>
            </w:r>
          </w:p>
        </w:tc>
      </w:tr>
      <w:tr>
        <w:tc>
          <w:tcPr>
            <w:tcW w:type="dxa" w:w="1728"/>
          </w:tcPr>
          <w:p>
            <w:r>
              <w:rPr>
                <w:rFonts w:ascii="Calibri" w:hAnsi="Calibri"/>
                <w:sz w:val="22"/>
              </w:rPr>
              <w:t>International Churn (FY2026)</w:t>
            </w:r>
          </w:p>
        </w:tc>
        <w:tc>
          <w:tcPr>
            <w:tcW w:type="dxa" w:w="1728"/>
          </w:tcPr>
          <w:p>
            <w:r>
              <w:rPr>
                <w:rFonts w:ascii="Calibri" w:hAnsi="Calibri"/>
                <w:sz w:val="22"/>
              </w:rPr>
              <w:t>2026 = peak year; improvement expected over next several years</w:t>
            </w:r>
          </w:p>
        </w:tc>
        <w:tc>
          <w:tcPr>
            <w:tcW w:type="dxa" w:w="1728"/>
          </w:tcPr>
          <w:p>
            <w:r>
              <w:rPr>
                <w:rFonts w:ascii="Calibri" w:hAnsi="Calibri"/>
                <w:sz w:val="22"/>
              </w:rPr>
              <w:t>—</w:t>
            </w:r>
          </w:p>
        </w:tc>
        <w:tc>
          <w:tcPr>
            <w:tcW w:type="dxa" w:w="1728"/>
          </w:tcPr>
          <w:p>
            <w:r>
              <w:rPr>
                <w:rFonts w:ascii="Calibri" w:hAnsi="Calibri"/>
                <w:sz w:val="22"/>
              </w:rPr>
              <w:t>6.91% (FY consensus)</w:t>
            </w:r>
          </w:p>
        </w:tc>
        <w:tc>
          <w:tcPr>
            <w:tcW w:type="dxa" w:w="1728"/>
          </w:tcPr>
          <w:p>
            <w:r>
              <w:rPr>
                <w:rFonts w:ascii="Calibri" w:hAnsi="Calibri"/>
                <w:sz w:val="22"/>
              </w:rPr>
              <w:t>Brazil churn expected for ~2 more years; Claro agreement still unresolved</w:t>
            </w:r>
          </w:p>
        </w:tc>
      </w:tr>
      <w:tr>
        <w:tc>
          <w:tcPr>
            <w:tcW w:type="dxa" w:w="1728"/>
          </w:tcPr>
          <w:p>
            <w:r>
              <w:rPr>
                <w:rFonts w:ascii="Calibri" w:hAnsi="Calibri"/>
                <w:sz w:val="22"/>
              </w:rPr>
              <w:t>Debt Refinancing / IG Bond Issuance</w:t>
            </w:r>
          </w:p>
        </w:tc>
        <w:tc>
          <w:tcPr>
            <w:tcW w:type="dxa" w:w="1728"/>
          </w:tcPr>
          <w:p>
            <w:r>
              <w:rPr>
                <w:rFonts w:ascii="Calibri" w:hAnsi="Calibri"/>
                <w:sz w:val="22"/>
              </w:rPr>
              <w:t>Inaugural IG bond issuance anticipated in 2026</w:t>
            </w:r>
          </w:p>
        </w:tc>
        <w:tc>
          <w:tcPr>
            <w:tcW w:type="dxa" w:w="1728"/>
          </w:tcPr>
          <w:p>
            <w:r>
              <w:rPr>
                <w:rFonts w:ascii="Calibri" w:hAnsi="Calibri"/>
                <w:sz w:val="22"/>
              </w:rPr>
              <w:t>↑ Completed July 23, 2026: $3.5B unsecured notes (4.875%/5.15%/5.45%) + new $2.5B unsecured revolver</w:t>
            </w:r>
          </w:p>
        </w:tc>
        <w:tc>
          <w:tcPr>
            <w:tcW w:type="dxa" w:w="1728"/>
          </w:tcPr>
          <w:p>
            <w:r>
              <w:rPr>
                <w:rFonts w:ascii="Calibri" w:hAnsi="Calibri"/>
                <w:sz w:val="22"/>
              </w:rPr>
              <w:t>N/A</w:t>
            </w:r>
          </w:p>
        </w:tc>
        <w:tc>
          <w:tcPr>
            <w:tcW w:type="dxa" w:w="1728"/>
          </w:tcPr>
          <w:p>
            <w:r>
              <w:rPr>
                <w:rFonts w:ascii="Calibri" w:hAnsi="Calibri"/>
                <w:sz w:val="22"/>
              </w:rPr>
              <w:t>↑ Executed ahead of Q2 print; repaid secured term loan and prior revolver; extends maturities to 2030–33</w:t>
            </w:r>
          </w:p>
        </w:tc>
      </w:tr>
    </w:tbl>
    <w:p>
      <w:r>
        <w:rPr>
          <w:rFonts w:ascii="Calibri" w:hAnsi="Calibri"/>
          <w:color w:val="525866"/>
          <w:sz w:val="22"/>
        </w:rPr>
        <w:t>Source: SBAC Q1 2026 Earnings Release and Earnings Call Transcript (April 29, 2026); JP Morgan Global Technology, Media and Communications Conference Transcript (May 18, 2026); SBAC 8-K filings (July 15, 23, 24, 2026).</w:t>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remarkably stable since the Q1 print — FY2026 AFFO per share consensus has moved only ~+$0.01 since the post-Q1 baseline, suggesting the street has fully absorbed the guidance raise without adding incremental optimism; the gap between consensus and guidance midpoint is thin, leaving limited cushion if Q2 disappoints.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6, 2026)</w:t>
            </w:r>
          </w:p>
        </w:tc>
        <w:tc>
          <w:tcPr>
            <w:tcW w:type="dxa" w:w="1080"/>
            <w:shd w:val="clear" w:color="auto" w:fill="3B4259"/>
          </w:tcPr>
          <w:p>
            <w:r>
              <w:rPr>
                <w:rFonts w:ascii="Calibri" w:hAnsi="Calibri"/>
                <w:b/>
                <w:color w:val="FFFFFF"/>
                <w:sz w:val="22"/>
              </w:rPr>
              <w:t>Current Consensus (Aug 2,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AFFO/Share — Q2 2026</w:t>
            </w:r>
          </w:p>
        </w:tc>
        <w:tc>
          <w:tcPr>
            <w:tcW w:type="dxa" w:w="1080"/>
          </w:tcPr>
          <w:p>
            <w:r>
              <w:rPr>
                <w:rFonts w:ascii="Calibri" w:hAnsi="Calibri"/>
                <w:sz w:val="22"/>
              </w:rPr>
              <w:t>$2.986</w:t>
            </w:r>
          </w:p>
        </w:tc>
        <w:tc>
          <w:tcPr>
            <w:tcW w:type="dxa" w:w="1080"/>
          </w:tcPr>
          <w:p>
            <w:r>
              <w:rPr>
                <w:rFonts w:ascii="Calibri" w:hAnsi="Calibri"/>
                <w:sz w:val="22"/>
              </w:rPr>
              <w:t>$2.992</w:t>
            </w:r>
          </w:p>
        </w:tc>
        <w:tc>
          <w:tcPr>
            <w:tcW w:type="dxa" w:w="1080"/>
          </w:tcPr>
          <w:p>
            <w:r>
              <w:rPr>
                <w:rFonts w:ascii="Calibri" w:hAnsi="Calibri"/>
                <w:sz w:val="22"/>
              </w:rPr>
              <w:t>+0.2%</w:t>
            </w:r>
          </w:p>
        </w:tc>
        <w:tc>
          <w:tcPr>
            <w:tcW w:type="dxa" w:w="1080"/>
          </w:tcPr>
          <w:p>
            <w:r>
              <w:rPr>
                <w:rFonts w:ascii="Calibri" w:hAnsi="Calibri"/>
                <w:sz w:val="22"/>
              </w:rPr>
              <w:t>No quarterly guidance provided</w:t>
            </w:r>
          </w:p>
        </w:tc>
        <w:tc>
          <w:tcPr>
            <w:tcW w:type="dxa" w:w="1080"/>
          </w:tcPr>
          <w:p>
            <w:r>
              <w:rPr>
                <w:rFonts w:ascii="Calibri" w:hAnsi="Calibri"/>
                <w:sz w:val="22"/>
              </w:rPr>
              <w:t>No quarterly guidance provided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AFFO/Share — FY2026</w:t>
            </w:r>
          </w:p>
        </w:tc>
        <w:tc>
          <w:tcPr>
            <w:tcW w:type="dxa" w:w="1080"/>
          </w:tcPr>
          <w:p>
            <w:r>
              <w:rPr>
                <w:rFonts w:ascii="Calibri" w:hAnsi="Calibri"/>
                <w:sz w:val="22"/>
              </w:rPr>
              <w:t>$12.184</w:t>
            </w:r>
          </w:p>
        </w:tc>
        <w:tc>
          <w:tcPr>
            <w:tcW w:type="dxa" w:w="1080"/>
          </w:tcPr>
          <w:p>
            <w:r>
              <w:rPr>
                <w:rFonts w:ascii="Calibri" w:hAnsi="Calibri"/>
                <w:sz w:val="22"/>
              </w:rPr>
              <w:t>$12.194</w:t>
            </w:r>
          </w:p>
        </w:tc>
        <w:tc>
          <w:tcPr>
            <w:tcW w:type="dxa" w:w="1080"/>
          </w:tcPr>
          <w:p>
            <w:r>
              <w:rPr>
                <w:rFonts w:ascii="Calibri" w:hAnsi="Calibri"/>
                <w:sz w:val="22"/>
              </w:rPr>
              <w:t>+0.1%</w:t>
            </w:r>
          </w:p>
        </w:tc>
        <w:tc>
          <w:tcPr>
            <w:tcW w:type="dxa" w:w="1080"/>
          </w:tcPr>
          <w:p>
            <w:r>
              <w:rPr>
                <w:rFonts w:ascii="Calibri" w:hAnsi="Calibri"/>
                <w:sz w:val="22"/>
              </w:rPr>
              <w:t>$11.93–$12.38 (mid: $12.155)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+0.3% above midpoint</w:t>
            </w:r>
          </w:p>
        </w:tc>
      </w:tr>
      <w:tr>
        <w:tc>
          <w:tcPr>
            <w:tcW w:type="dxa" w:w="1080"/>
          </w:tcPr>
          <w:p>
            <w:r>
              <w:rPr>
                <w:rFonts w:ascii="Calibri" w:hAnsi="Calibri"/>
                <w:sz w:val="22"/>
              </w:rPr>
              <w:t>Total Revenue — Q2 2026</w:t>
            </w:r>
          </w:p>
        </w:tc>
        <w:tc>
          <w:tcPr>
            <w:tcW w:type="dxa" w:w="1080"/>
          </w:tcPr>
          <w:p>
            <w:r>
              <w:rPr>
                <w:rFonts w:ascii="Calibri" w:hAnsi="Calibri"/>
                <w:sz w:val="22"/>
              </w:rPr>
              <w:t>$704.7M</w:t>
            </w:r>
          </w:p>
        </w:tc>
        <w:tc>
          <w:tcPr>
            <w:tcW w:type="dxa" w:w="1080"/>
          </w:tcPr>
          <w:p>
            <w:r>
              <w:rPr>
                <w:rFonts w:ascii="Calibri" w:hAnsi="Calibri"/>
                <w:sz w:val="22"/>
              </w:rPr>
              <w:t>$706.3M</w:t>
            </w:r>
          </w:p>
        </w:tc>
        <w:tc>
          <w:tcPr>
            <w:tcW w:type="dxa" w:w="1080"/>
          </w:tcPr>
          <w:p>
            <w:r>
              <w:rPr>
                <w:rFonts w:ascii="Calibri" w:hAnsi="Calibri"/>
                <w:sz w:val="22"/>
              </w:rPr>
              <w:t>+0.2%</w:t>
            </w:r>
          </w:p>
        </w:tc>
        <w:tc>
          <w:tcPr>
            <w:tcW w:type="dxa" w:w="1080"/>
          </w:tcPr>
          <w:p>
            <w:r>
              <w:rPr>
                <w:rFonts w:ascii="Calibri" w:hAnsi="Calibri"/>
                <w:sz w:val="22"/>
              </w:rPr>
              <w:t>No quarterly guidance provided</w:t>
            </w:r>
          </w:p>
        </w:tc>
        <w:tc>
          <w:tcPr>
            <w:tcW w:type="dxa" w:w="1080"/>
          </w:tcPr>
          <w:p>
            <w:r>
              <w:rPr>
                <w:rFonts w:ascii="Calibri" w:hAnsi="Calibri"/>
                <w:sz w:val="22"/>
              </w:rPr>
              <w:t>No quarterly guidance provided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FY2026</w:t>
            </w:r>
          </w:p>
        </w:tc>
        <w:tc>
          <w:tcPr>
            <w:tcW w:type="dxa" w:w="1080"/>
          </w:tcPr>
          <w:p>
            <w:r>
              <w:rPr>
                <w:rFonts w:ascii="Calibri" w:hAnsi="Calibri"/>
                <w:sz w:val="22"/>
              </w:rPr>
              <w:t>$2,859.1M</w:t>
            </w:r>
          </w:p>
        </w:tc>
        <w:tc>
          <w:tcPr>
            <w:tcW w:type="dxa" w:w="1080"/>
          </w:tcPr>
          <w:p>
            <w:r>
              <w:rPr>
                <w:rFonts w:ascii="Calibri" w:hAnsi="Calibri"/>
                <w:sz w:val="22"/>
              </w:rPr>
              <w:t>$2,859.9M</w:t>
            </w:r>
          </w:p>
        </w:tc>
        <w:tc>
          <w:tcPr>
            <w:tcW w:type="dxa" w:w="1080"/>
          </w:tcPr>
          <w:p>
            <w:r>
              <w:rPr>
                <w:rFonts w:ascii="Calibri" w:hAnsi="Calibri"/>
                <w:sz w:val="22"/>
              </w:rPr>
              <w:t>+0.0%</w:t>
            </w:r>
          </w:p>
        </w:tc>
        <w:tc>
          <w:tcPr>
            <w:tcW w:type="dxa" w:w="1080"/>
          </w:tcPr>
          <w:p>
            <w:r>
              <w:rPr>
                <w:rFonts w:ascii="Calibri" w:hAnsi="Calibri"/>
                <w:sz w:val="22"/>
              </w:rPr>
              <w:t>$2,839–$2,884M (mid: $2,861.5M)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−0.1% vs. midpoint</w:t>
            </w:r>
          </w:p>
        </w:tc>
      </w:tr>
      <w:tr>
        <w:tc>
          <w:tcPr>
            <w:tcW w:type="dxa" w:w="1080"/>
          </w:tcPr>
          <w:p>
            <w:r>
              <w:rPr>
                <w:rFonts w:ascii="Calibri" w:hAnsi="Calibri"/>
                <w:sz w:val="22"/>
              </w:rPr>
              <w:t>Adj. EBITDA — Q2 2026</w:t>
            </w:r>
          </w:p>
        </w:tc>
        <w:tc>
          <w:tcPr>
            <w:tcW w:type="dxa" w:w="1080"/>
          </w:tcPr>
          <w:p>
            <w:r>
              <w:rPr>
                <w:rFonts w:ascii="Calibri" w:hAnsi="Calibri"/>
                <w:sz w:val="22"/>
              </w:rPr>
              <w:t>$476.5M</w:t>
            </w:r>
          </w:p>
        </w:tc>
        <w:tc>
          <w:tcPr>
            <w:tcW w:type="dxa" w:w="1080"/>
          </w:tcPr>
          <w:p>
            <w:r>
              <w:rPr>
                <w:rFonts w:ascii="Calibri" w:hAnsi="Calibri"/>
                <w:sz w:val="22"/>
              </w:rPr>
              <w:t>$477.1M</w:t>
            </w:r>
          </w:p>
        </w:tc>
        <w:tc>
          <w:tcPr>
            <w:tcW w:type="dxa" w:w="1080"/>
          </w:tcPr>
          <w:p>
            <w:r>
              <w:rPr>
                <w:rFonts w:ascii="Calibri" w:hAnsi="Calibri"/>
                <w:sz w:val="22"/>
              </w:rPr>
              <w:t>+0.1%</w:t>
            </w:r>
          </w:p>
        </w:tc>
        <w:tc>
          <w:tcPr>
            <w:tcW w:type="dxa" w:w="1080"/>
          </w:tcPr>
          <w:p>
            <w:r>
              <w:rPr>
                <w:rFonts w:ascii="Calibri" w:hAnsi="Calibri"/>
                <w:sz w:val="22"/>
              </w:rPr>
              <w:t>No quarterly guidance provided</w:t>
            </w:r>
          </w:p>
        </w:tc>
        <w:tc>
          <w:tcPr>
            <w:tcW w:type="dxa" w:w="1080"/>
          </w:tcPr>
          <w:p>
            <w:r>
              <w:rPr>
                <w:rFonts w:ascii="Calibri" w:hAnsi="Calibri"/>
                <w:sz w:val="22"/>
              </w:rPr>
              <w:t>No quarterly guidance provided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EBITDA — FY2026</w:t>
            </w:r>
          </w:p>
        </w:tc>
        <w:tc>
          <w:tcPr>
            <w:tcW w:type="dxa" w:w="1080"/>
          </w:tcPr>
          <w:p>
            <w:r>
              <w:rPr>
                <w:rFonts w:ascii="Calibri" w:hAnsi="Calibri"/>
                <w:sz w:val="22"/>
              </w:rPr>
              <w:t>$1,935.1M</w:t>
            </w:r>
          </w:p>
        </w:tc>
        <w:tc>
          <w:tcPr>
            <w:tcW w:type="dxa" w:w="1080"/>
          </w:tcPr>
          <w:p>
            <w:r>
              <w:rPr>
                <w:rFonts w:ascii="Calibri" w:hAnsi="Calibri"/>
                <w:sz w:val="22"/>
              </w:rPr>
              <w:t>$1,934.7M</w:t>
            </w:r>
          </w:p>
        </w:tc>
        <w:tc>
          <w:tcPr>
            <w:tcW w:type="dxa" w:w="1080"/>
          </w:tcPr>
          <w:p>
            <w:r>
              <w:rPr>
                <w:rFonts w:ascii="Calibri" w:hAnsi="Calibri"/>
                <w:sz w:val="22"/>
              </w:rPr>
              <w:t>−0.0%</w:t>
            </w:r>
          </w:p>
        </w:tc>
        <w:tc>
          <w:tcPr>
            <w:tcW w:type="dxa" w:w="1080"/>
          </w:tcPr>
          <w:p>
            <w:r>
              <w:rPr>
                <w:rFonts w:ascii="Calibri" w:hAnsi="Calibri"/>
                <w:sz w:val="22"/>
              </w:rPr>
              <w:t>$1,921–$1,941M (mid: $1,931.0M)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+0.2% above midpoint</w:t>
            </w:r>
          </w:p>
        </w:tc>
      </w:tr>
    </w:tbl>
    <w:p>
      <w:r>
        <w:rPr>
          <w:rFonts w:ascii="Calibri" w:hAnsi="Calibri"/>
          <w:i/>
          <w:color w:val="525866"/>
          <w:sz w:val="22"/>
        </w:rPr>
        <w:t xml:space="preserve">Source: Visible Alpha Consensus and Actuals Data (as-of date May 6, 2026 for baseline; latest as of August 2, 2026 for current). SBAC Q1 2026 Earnings Release (April 29, 2026) for guidance ranges. </w:t>
      </w:r>
      <w:r>
        <w:rPr>
          <w:rFonts w:ascii="Calibri" w:hAnsi="Calibri"/>
          <w:color w:val="525866"/>
          <w:sz w:val="22"/>
        </w:rPr>
        <w:t>Estimates have barely moved since the Q1 print — the near-zero revision delta across all KPIs signals the street has fully priced in the guidance raise and is not adding incremental upside. With consensus sitting only ~30 bps above the FY AFFO/share guidance midpoint, there is limited buffer if Q2 comes in at or below the low end of the range.</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SBAC has dramatically underperformed since Q1 earnings — down ~16% vs. VNQ roughly flat and S&amp;P 500 up ~5% — driven by multiple compression as take-private speculation faded, rate sensitivity re-emerged, and the market discounted the ongoing domestic churn headwind; the stock is now trading near its lowest level since the pre-take-private-rumor period, creating a potentially attractive setup if Q2 results confirm the churn trajectory is tracking guidance.</w:t>
      </w:r>
    </w:p>
    <w:p>
      <w:r>
        <w:rPr>
          <w:rFonts w:ascii="Calibri" w:hAnsi="Calibri"/>
          <w:b/>
          <w:color w:val="525866"/>
          <w:sz w:val="22"/>
        </w:rPr>
        <w:t>Chart: SBAC vs. VNQ vs. S&amp;P 500 — Indexed Performance Since April 29, 2026 (Last Earnings Date)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SBAC (Indexed)</w:t>
            </w:r>
          </w:p>
        </w:tc>
        <w:tc>
          <w:tcPr>
            <w:tcW w:type="dxa" w:w="2160"/>
            <w:shd w:val="clear" w:color="auto" w:fill="3B4259"/>
          </w:tcPr>
          <w:p>
            <w:r>
              <w:rPr>
                <w:rFonts w:ascii="Calibri" w:hAnsi="Calibri"/>
                <w:b/>
                <w:color w:val="FFFFFF"/>
                <w:sz w:val="22"/>
              </w:rPr>
              <w:t>VNQ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Apr 29, 2026 (Base)</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29, 2026</w:t>
            </w:r>
          </w:p>
        </w:tc>
        <w:tc>
          <w:tcPr>
            <w:tcW w:type="dxa" w:w="2160"/>
          </w:tcPr>
          <w:p>
            <w:r>
              <w:rPr>
                <w:rFonts w:ascii="Calibri" w:hAnsi="Calibri"/>
                <w:sz w:val="22"/>
              </w:rPr>
              <w:t>94.1</w:t>
            </w:r>
          </w:p>
        </w:tc>
        <w:tc>
          <w:tcPr>
            <w:tcW w:type="dxa" w:w="2160"/>
          </w:tcPr>
          <w:p>
            <w:r>
              <w:rPr>
                <w:rFonts w:ascii="Calibri" w:hAnsi="Calibri"/>
                <w:sz w:val="22"/>
              </w:rPr>
              <w:t>100.8</w:t>
            </w:r>
          </w:p>
        </w:tc>
        <w:tc>
          <w:tcPr>
            <w:tcW w:type="dxa" w:w="2160"/>
          </w:tcPr>
          <w:p>
            <w:r>
              <w:rPr>
                <w:rFonts w:ascii="Calibri" w:hAnsi="Calibri"/>
                <w:sz w:val="22"/>
              </w:rPr>
              <w:t>106.3</w:t>
            </w:r>
          </w:p>
        </w:tc>
      </w:tr>
      <w:tr>
        <w:tc>
          <w:tcPr>
            <w:tcW w:type="dxa" w:w="2160"/>
          </w:tcPr>
          <w:p>
            <w:r>
              <w:rPr>
                <w:rFonts w:ascii="Calibri" w:hAnsi="Calibri"/>
                <w:sz w:val="22"/>
              </w:rPr>
              <w:t>Jun 30, 2026</w:t>
            </w:r>
          </w:p>
        </w:tc>
        <w:tc>
          <w:tcPr>
            <w:tcW w:type="dxa" w:w="2160"/>
          </w:tcPr>
          <w:p>
            <w:r>
              <w:rPr>
                <w:rFonts w:ascii="Calibri" w:hAnsi="Calibri"/>
                <w:sz w:val="22"/>
              </w:rPr>
              <w:t>81.7</w:t>
            </w:r>
          </w:p>
        </w:tc>
        <w:tc>
          <w:tcPr>
            <w:tcW w:type="dxa" w:w="2160"/>
          </w:tcPr>
          <w:p>
            <w:r>
              <w:rPr>
                <w:rFonts w:ascii="Calibri" w:hAnsi="Calibri"/>
                <w:sz w:val="22"/>
              </w:rPr>
              <w:t>101.6</w:t>
            </w:r>
          </w:p>
        </w:tc>
        <w:tc>
          <w:tcPr>
            <w:tcW w:type="dxa" w:w="2160"/>
          </w:tcPr>
          <w:p>
            <w:r>
              <w:rPr>
                <w:rFonts w:ascii="Calibri" w:hAnsi="Calibri"/>
                <w:sz w:val="22"/>
              </w:rPr>
              <w:t>104.9</w:t>
            </w:r>
          </w:p>
        </w:tc>
      </w:tr>
      <w:tr>
        <w:tc>
          <w:tcPr>
            <w:tcW w:type="dxa" w:w="2160"/>
          </w:tcPr>
          <w:p>
            <w:r>
              <w:rPr>
                <w:rFonts w:ascii="Calibri" w:hAnsi="Calibri"/>
                <w:sz w:val="22"/>
              </w:rPr>
              <w:t>Jul 31, 2026</w:t>
            </w:r>
          </w:p>
        </w:tc>
        <w:tc>
          <w:tcPr>
            <w:tcW w:type="dxa" w:w="2160"/>
          </w:tcPr>
          <w:p>
            <w:r>
              <w:rPr>
                <w:rFonts w:ascii="Calibri" w:hAnsi="Calibri"/>
                <w:sz w:val="22"/>
              </w:rPr>
              <w:t>83.8</w:t>
            </w:r>
          </w:p>
        </w:tc>
        <w:tc>
          <w:tcPr>
            <w:tcW w:type="dxa" w:w="2160"/>
          </w:tcPr>
          <w:p>
            <w:r>
              <w:rPr>
                <w:rFonts w:ascii="Calibri" w:hAnsi="Calibri"/>
                <w:sz w:val="22"/>
              </w:rPr>
              <w:t>104.3</w:t>
            </w:r>
          </w:p>
        </w:tc>
        <w:tc>
          <w:tcPr>
            <w:tcW w:type="dxa" w:w="2160"/>
          </w:tcPr>
          <w:p>
            <w:r>
              <w:rPr>
                <w:rFonts w:ascii="Calibri" w:hAnsi="Calibri"/>
                <w:sz w:val="22"/>
              </w:rPr>
              <w:t>105.0</w:t>
            </w:r>
          </w:p>
        </w:tc>
      </w:tr>
    </w:tbl>
    <w:p>
      <w:r>
        <w:rPr>
          <w:rFonts w:ascii="Calibri" w:hAnsi="Calibri"/>
          <w:i/>
          <w:color w:val="525866"/>
          <w:sz w:val="22"/>
        </w:rPr>
        <w:t xml:space="preserve">Source: Yahoo Finance / Stock Price Data. Base = April 29, 2026 closing prices (SBAC: $215.97; VNQ: $94.90; SPY: $711.58). Sector ETF: VNQ (Vanguard Real Estate ETF) used as the REIT/infrastructure proxy. July 31, 2026 closing prices: SBAC $181.01 (−16.2%); VNQ $98.97 (+4.3%); SPY $747.07 (+5.0%). </w:t>
      </w:r>
      <w:r>
        <w:rPr>
          <w:rFonts w:ascii="Calibri" w:hAnsi="Calibri"/>
          <w:b/>
          <w:color w:val="525866"/>
          <w:sz w:val="22"/>
        </w:rPr>
        <w:t xml:space="preserve">Key events: </w:t>
      </w:r>
      <w:r>
        <w:rPr>
          <w:rFonts w:ascii="Calibri" w:hAnsi="Calibri"/>
          <w:color w:val="525866"/>
          <w:sz w:val="22"/>
        </w:rPr>
        <w:t>Take-private speculation (KKR/Brookfield at ~$250/share) had already driven the stock sharply higher before Q1 earnings; the stock peaked near $221 on April 30 before a sustained de-rating through June as speculation faded. The July 15–23 debt refinancing ($3.5B unsecured notes + new $2.5B revolver) was a positive credit event but did not arrest the stock's decline, which continued through late July before a partial recovery on July 29 (AMT earnings beat providing a sector read-through lift).</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material post-Q1 development is the completion of SBAC's inaugural investment-grade unsecured debt offering ($3.5B, July 23), which structurally de-risks the balance sheet and extends maturities; the EchoStar/DISH bankruptcy escrow mechanism remains the key unresolved wildcard for the Q2 call.</w:t>
      </w:r>
    </w:p>
    <w:p>
      <w:pPr>
        <w:pStyle w:val="ListBullet"/>
        <w:ind w:left="360" w:hanging="360"/>
      </w:pPr>
      <w:r>
        <w:rPr>
          <w:rFonts w:ascii="Calibri" w:hAnsi="Calibri"/>
          <w:b/>
          <w:color w:val="525866"/>
          <w:sz w:val="22"/>
        </w:rPr>
        <w:t>July 23–24, 2026 — SBAC completes $3.5B inaugural investment-grade unsecured notes offering</w:t>
      </w:r>
      <w:r>
        <w:rPr>
          <w:rFonts w:ascii="Calibri" w:hAnsi="Calibri"/>
          <w:color w:val="525866"/>
          <w:sz w:val="22"/>
        </w:rPr>
        <w:t xml:space="preserve">: Issued $1.35B of 4.875% Senior Notes due 2030, $1.35B of 5.150% Senior Notes due 2031, and $800M of 5.450% Senior Notes due 2033. Simultaneously established a new $2.5B senior unsecured revolving credit facility maturing July 2031. Proceeds used to repay in full the $2.3B secured term loan and outstanding revolver borrowings under the prior secured credit agreement. </w:t>
      </w:r>
    </w:p>
    <w:p>
      <w:pPr>
        <w:pStyle w:val="ListBullet"/>
        <w:ind w:left="360" w:hanging="360"/>
      </w:pPr>
      <w:r>
        <w:rPr>
          <w:rFonts w:ascii="Calibri" w:hAnsi="Calibri"/>
          <w:b/>
          <w:color w:val="525866"/>
          <w:sz w:val="22"/>
        </w:rPr>
        <w:t xml:space="preserve">Implication: </w:t>
      </w:r>
      <w:r>
        <w:rPr>
          <w:rFonts w:ascii="Calibri" w:hAnsi="Calibri"/>
          <w:color w:val="525866"/>
          <w:sz w:val="22"/>
        </w:rPr>
        <w:t>Marks the completion of SBAC's transition to a fully investment-grade, unsecured capital structure — a multi-year strategic objective. Eliminates secured debt overhang, extends maturity profile, and reduces cost of capital over time. The new revolver's interest margin (75–137.5 bps over SOFR) is ratings-linked, incentivizing continued credit quality improvement. (Source: SBAC 8-K filings, July 15, 23, 24, 2026)</w:t>
      </w:r>
    </w:p>
    <w:p>
      <w:pPr>
        <w:pStyle w:val="ListBullet"/>
        <w:ind w:left="360" w:hanging="360"/>
      </w:pPr>
      <w:r>
        <w:rPr>
          <w:rFonts w:ascii="Calibri" w:hAnsi="Calibri"/>
          <w:b/>
          <w:color w:val="525866"/>
          <w:sz w:val="22"/>
        </w:rPr>
        <w:t>May 18, 2026 — CFO Marc Montagner presents at JP Morgan Global Technology, Media and Communications Conference</w:t>
      </w:r>
      <w:r>
        <w:rPr>
          <w:rFonts w:ascii="Calibri" w:hAnsi="Calibri"/>
          <w:color w:val="525866"/>
          <w:sz w:val="22"/>
        </w:rPr>
        <w:t>: Provided explicit carrier-by-carrier activity characterization for 2026: Verizon (post-November 2025 MLA) is the most active carrier; T-Mobile has stepped down from 2025 levels; AT&amp;T MLA (signed mid-2023, valid through mid-2028) is generating no new business currently. Reiterated long-term U.S. organic growth framework of 4.5–5%. Confirmed ~$600M of annual excess free cash flow available for M&amp;A, debt paydown, or buybacks. Disclosed ~$100M total EchoStar/DISH exposure (unpaid leases + future commitments). (Source: JP Morgan Conference Transcript, May 18, 2026)</w:t>
      </w:r>
    </w:p>
    <w:p>
      <w:pPr>
        <w:pStyle w:val="ListBullet"/>
        <w:ind w:left="360" w:hanging="360"/>
      </w:pPr>
      <w:r>
        <w:rPr>
          <w:rFonts w:ascii="Calibri" w:hAnsi="Calibri"/>
          <w:b/>
          <w:color w:val="525866"/>
          <w:sz w:val="22"/>
        </w:rPr>
        <w:t>Ongoing — EchoStar/DISH bankruptcy and FCC escrow mechanism</w:t>
      </w:r>
      <w:r>
        <w:rPr>
          <w:rFonts w:ascii="Calibri" w:hAnsi="Calibri"/>
          <w:color w:val="525866"/>
          <w:sz w:val="22"/>
        </w:rPr>
        <w:t xml:space="preserve">: DISH Wireless has filed for bankruptcy. The FCC's approval of EchoStar's spectrum sale to AT&amp;T included a requirement for a $2.4B escrow account for qualifying vendor claims. SBAC's total exposure is ~$100M. Management views the escrow as a constructive recovery mechanism but acknowledged uncertainty around legal mechanics and timing. The escrow funding is contingent on the AT&amp;T/EchoStar transaction closing. </w:t>
      </w:r>
    </w:p>
    <w:p>
      <w:pPr>
        <w:pStyle w:val="ListBullet"/>
        <w:ind w:left="360" w:hanging="360"/>
      </w:pPr>
      <w:r>
        <w:rPr>
          <w:rFonts w:ascii="Calibri" w:hAnsi="Calibri"/>
          <w:b/>
          <w:color w:val="525866"/>
          <w:sz w:val="22"/>
        </w:rPr>
        <w:t xml:space="preserve">Implication: </w:t>
      </w:r>
      <w:r>
        <w:rPr>
          <w:rFonts w:ascii="Calibri" w:hAnsi="Calibri"/>
          <w:color w:val="525866"/>
          <w:sz w:val="22"/>
        </w:rPr>
        <w:t>Any update on escrow funding status, settlement discussions, or court proceedings on the Q2 call could be a meaningful catalyst. (Source: JP Morgan Conference Transcript, May 18, 2026; CCI Q2 2026 Earnings Call, July 22, 2026)</w:t>
      </w:r>
    </w:p>
    <w:p>
      <w:pPr>
        <w:pStyle w:val="ListBullet"/>
        <w:ind w:left="360" w:hanging="360"/>
      </w:pPr>
      <w:r>
        <w:rPr>
          <w:rFonts w:ascii="Calibri" w:hAnsi="Calibri"/>
          <w:b/>
          <w:color w:val="525866"/>
          <w:sz w:val="22"/>
        </w:rPr>
        <w:t>April 29, 2026 — Q1 2026 beat-and-raise; take-private speculation dominates Q&amp;A</w:t>
      </w:r>
      <w:r>
        <w:rPr>
          <w:rFonts w:ascii="Calibri" w:hAnsi="Calibri"/>
          <w:color w:val="525866"/>
          <w:sz w:val="22"/>
        </w:rPr>
        <w:t>: SBAC beat on revenue and AFFO/share; raised full-year guidance across all metrics. CEO Cavanagh declined to comment on widely-reported KKR/Brookfield interest at ~$250/share. Stock had already rallied sharply pre-earnings on speculation; muted post-earnings reaction. (Source: SBAC Q1 2026 Earnings Call and Earnings Release, April 29, 2026)</w:t>
      </w:r>
    </w:p>
    <w:p>
      <w:pPr>
        <w:pStyle w:val="ListBullet"/>
        <w:ind w:left="360" w:hanging="360"/>
      </w:pPr>
      <w:r>
        <w:rPr>
          <w:rFonts w:ascii="Calibri" w:hAnsi="Calibri"/>
          <w:b/>
          <w:color w:val="525866"/>
          <w:sz w:val="22"/>
        </w:rPr>
        <w:t>Ongoing — Central America (Millicom) integration tracking ahead of schedule</w:t>
      </w:r>
      <w:r>
        <w:rPr>
          <w:rFonts w:ascii="Calibri" w:hAnsi="Calibri"/>
          <w:color w:val="525866"/>
          <w:sz w:val="22"/>
        </w:rPr>
        <w:t>: Colocation demand exceeding initial projections; built just over 60 towers in Central America in Q1 with expectations to accelerate through 2026. Build-to-suit agreement includes minimum 2,500 new site commitment over multiple years. (Source: SBAC Q1 2026 Earnings Call, April 29, 2026)</w:t>
      </w:r>
    </w:p>
    <w:p>
      <w:pPr>
        <w:pStyle w:val="ListBullet"/>
        <w:ind w:left="360" w:hanging="360"/>
      </w:pPr>
      <w:r>
        <w:rPr>
          <w:rFonts w:ascii="Calibri" w:hAnsi="Calibri"/>
          <w:b/>
          <w:color w:val="525866"/>
          <w:sz w:val="22"/>
        </w:rPr>
        <w:t>Ongoing — Mobile edge computing trials underway</w:t>
      </w:r>
      <w:r>
        <w:rPr>
          <w:rFonts w:ascii="Calibri" w:hAnsi="Calibri"/>
          <w:color w:val="525866"/>
          <w:sz w:val="22"/>
        </w:rPr>
        <w:t>: SBAC has deployed a small number of edge data center trials at tower sites; expects some to come online shortly. CFO noted uncertainty around whether AI inference demand will require compute at the tower base vs. a nearby metro facility. Financial impact immaterial near-term but flagged as a growing focus area. (Source: SBAC Q1 2026 Earnings Call, April 29, 2026; JP Morgan Conference, May 18, 2026)</w:t>
      </w:r>
    </w:p>
    <w:p>
      <w:r>
        <w:br w:type="page"/>
      </w:r>
    </w:p>
    <w:p>
      <w:pPr>
        <w:pStyle w:val="Heading2"/>
      </w:pPr>
      <w:r>
        <w:rPr>
          <w:rFonts w:ascii="Calibri" w:hAnsi="Calibri"/>
          <w:b/>
          <w:color w:val="3B4259"/>
          <w:sz w:val="28"/>
        </w:rPr>
        <w:t>7. Peer Commentaries — Current-Quarter Read-Through (Q2 2026)</w:t>
      </w:r>
    </w:p>
    <w:p>
      <w:r>
        <w:rPr>
          <w:rFonts w:ascii="Calibri" w:hAnsi="Calibri"/>
          <w:b/>
          <w:color w:val="525866"/>
          <w:sz w:val="22"/>
        </w:rPr>
        <w:t xml:space="preserve">Scope: </w:t>
      </w:r>
      <w:r>
        <w:rPr>
          <w:rFonts w:ascii="Calibri" w:hAnsi="Calibri"/>
          <w:color w:val="525866"/>
          <w:sz w:val="22"/>
        </w:rPr>
        <w:t xml:space="preserve">Only commentary made </w:t>
      </w:r>
      <w:r>
        <w:rPr>
          <w:rFonts w:ascii="Calibri" w:hAnsi="Calibri"/>
          <w:b/>
          <w:i/>
          <w:color w:val="525866"/>
          <w:sz w:val="22"/>
        </w:rPr>
        <w:t>after</w:t>
      </w:r>
      <w:r>
        <w:rPr>
          <w:rFonts w:ascii="Calibri" w:hAnsi="Calibri"/>
          <w:color w:val="525866"/>
          <w:sz w:val="22"/>
        </w:rPr>
        <w:t xml:space="preserve"> SBAC's April 29, 2026 Q1 earnings that pertains to the Q2 2026 reporting quarter or forward outlook. Prior-quarter results commentary from peers is excluded. EQIX excluded as non-comparable (data center, not wireless tower). AMT and CCI are the primary read-throughs as direct U.S. tower peers reporting Q2 2026 results before SBAC's August 3 call.</w:t>
      </w:r>
    </w:p>
    <w:p>
      <w:pPr>
        <w:pStyle w:val="Heading3"/>
      </w:pPr>
      <w:r>
        <w:rPr>
          <w:rFonts w:ascii="Calibri" w:hAnsi="Calibri"/>
          <w:b/>
          <w:color w:val="3B4259"/>
          <w:sz w:val="24"/>
        </w:rPr>
        <w:t>Crown Castle International (CCI) — Q2 2026 Earnings (July 22, 2026)</w:t>
      </w:r>
    </w:p>
    <w:p>
      <w:r>
        <w:rPr>
          <w:rFonts w:ascii="Calibri" w:hAnsi="Calibri"/>
          <w:b/>
          <w:color w:val="525866"/>
          <w:sz w:val="22"/>
        </w:rPr>
        <w:t xml:space="preserve">Relevance: </w:t>
      </w:r>
      <w:r>
        <w:rPr>
          <w:rFonts w:ascii="Calibri" w:hAnsi="Calibri"/>
          <w:color w:val="525866"/>
          <w:sz w:val="22"/>
        </w:rPr>
        <w:t>CCI is a pure-play U.S. tower operator (completed sale of small cell/fiber businesses May 1, 2026) and the most direct structural read-through for SBAC's domestic tower business.</w:t>
      </w:r>
    </w:p>
    <w:p>
      <w:pPr>
        <w:pStyle w:val="ListBullet"/>
        <w:ind w:left="360" w:hanging="360"/>
      </w:pPr>
      <w:r>
        <w:rPr>
          <w:rFonts w:ascii="Calibri" w:hAnsi="Calibri"/>
          <w:b/>
          <w:color w:val="525866"/>
          <w:sz w:val="22"/>
        </w:rPr>
        <w:t>U.S. organic leasing growth ex-Sprint/DISH: +3.9% in Q2 2026 (+4.2% if DISH excluded from prior-year base)</w:t>
      </w:r>
      <w:r>
        <w:rPr>
          <w:rFonts w:ascii="Calibri" w:hAnsi="Calibri"/>
          <w:color w:val="525866"/>
          <w:sz w:val="22"/>
        </w:rPr>
        <w:t>: CCI's underlying U.S. tower demand, stripped of the one-time churn headwinds, is running at ~4% — consistent with SBAC's long-term framework of 4.5–5% normalized domestic growth. This is a constructive read-through for SBAC's colocation and amendment activity in Q2. (Source: CCI Q2 2026 Earnings Call, July 22, 2026)</w:t>
      </w:r>
    </w:p>
    <w:p>
      <w:pPr>
        <w:pStyle w:val="ListBullet"/>
        <w:ind w:left="360" w:hanging="360"/>
      </w:pPr>
      <w:r>
        <w:rPr>
          <w:rFonts w:ascii="Calibri" w:hAnsi="Calibri"/>
          <w:b/>
          <w:color w:val="525866"/>
          <w:sz w:val="22"/>
        </w:rPr>
        <w:t>Full-year 2026 organic growth outlook raised to 3.4% ex-Sprint/DISH (from 3.3%)</w:t>
      </w:r>
      <w:r>
        <w:rPr>
          <w:rFonts w:ascii="Calibri" w:hAnsi="Calibri"/>
          <w:color w:val="525866"/>
          <w:sz w:val="22"/>
        </w:rPr>
        <w:t>: CCI increased its FY2026 organic growth guide by 10 bps at the midpoint, driven by a $5M increase in other billings. Over 90% of FY2026 organic growth (ex-Sprint/DISH) was contracted as of Q2 end, up from ~80% at year-start — signaling strong visibility. Leasing guide for the year unchanged at $60–70M. (Source: CCI Q2 2026 Earnings Call, July 22, 2026)</w:t>
      </w:r>
    </w:p>
    <w:p>
      <w:pPr>
        <w:pStyle w:val="ListBullet"/>
        <w:ind w:left="360" w:hanging="360"/>
      </w:pPr>
      <w:r>
        <w:rPr>
          <w:rFonts w:ascii="Calibri" w:hAnsi="Calibri"/>
          <w:b/>
          <w:color w:val="525866"/>
          <w:sz w:val="22"/>
        </w:rPr>
        <w:t>DISH churn: $49M headwind in Q2 2026; pacing more back-end loaded as expected</w:t>
      </w:r>
      <w:r>
        <w:rPr>
          <w:rFonts w:ascii="Calibri" w:hAnsi="Calibri"/>
          <w:color w:val="525866"/>
          <w:sz w:val="22"/>
        </w:rPr>
        <w:t xml:space="preserve">: CCI confirmed the DISH termination impact is tracking prior expectations, with the full-year straight-line revenue outlook unchanged at −$60M midpoint. CCI is pursuing a $3.5B contractual claim in bankruptcy court and has been appointed to the unsecured creditor committee. The FCC-mandated $2.4B escrow (bankruptcy-remote, tied to AT&amp;T transaction closing) is the primary recovery mechanism. </w:t>
      </w:r>
    </w:p>
    <w:p>
      <w:pPr>
        <w:pStyle w:val="ListBullet"/>
        <w:ind w:left="360" w:hanging="360"/>
      </w:pPr>
      <w:r>
        <w:rPr>
          <w:rFonts w:ascii="Calibri" w:hAnsi="Calibri"/>
          <w:b/>
          <w:color w:val="525866"/>
          <w:sz w:val="22"/>
        </w:rPr>
        <w:t xml:space="preserve">Read-through for SBAC: </w:t>
      </w:r>
      <w:r>
        <w:rPr>
          <w:rFonts w:ascii="Calibri" w:hAnsi="Calibri"/>
          <w:color w:val="525866"/>
          <w:sz w:val="22"/>
        </w:rPr>
        <w:t>CCI's escrow commentary is directly relevant — SBAC has ~$100M of EchoStar/DISH exposure and is pursuing recovery through the same escrow mechanism. CCI's characterization of the escrow as "bankruptcy-remote" and not subject to the normal bankruptcy estate waterfall is incrementally positive for SBAC's recovery prospects. (Source: CCI Q2 2026 Earnings Call, July 22, 2026)</w:t>
      </w:r>
    </w:p>
    <w:p>
      <w:pPr>
        <w:pStyle w:val="ListBullet"/>
        <w:ind w:left="360" w:hanging="360"/>
      </w:pPr>
      <w:r>
        <w:rPr>
          <w:rFonts w:ascii="Calibri" w:hAnsi="Calibri"/>
          <w:b/>
          <w:color w:val="525866"/>
          <w:sz w:val="22"/>
        </w:rPr>
        <w:t>Services activity: $20M decrease in services contribution expected, primarily in Q3 2026</w:t>
      </w:r>
      <w:r>
        <w:rPr>
          <w:rFonts w:ascii="Calibri" w:hAnsi="Calibri"/>
          <w:color w:val="525866"/>
          <w:sz w:val="22"/>
        </w:rPr>
        <w:t xml:space="preserve">: CCI cited leadership/strategy changes and large-scale layoffs at carrier customers as drivers of slower decision-making and reduced services activity. Importantly, CCI noted "there isn't a straight line you can draw between service levels and leasing activity" — suggesting services softness does not necessarily signal leasing weakness. </w:t>
      </w:r>
    </w:p>
    <w:p>
      <w:pPr>
        <w:pStyle w:val="ListBullet"/>
        <w:ind w:left="360" w:hanging="360"/>
      </w:pPr>
      <w:r>
        <w:rPr>
          <w:rFonts w:ascii="Calibri" w:hAnsi="Calibri"/>
          <w:b/>
          <w:color w:val="525866"/>
          <w:sz w:val="22"/>
        </w:rPr>
        <w:t xml:space="preserve">Read-through for SBAC: </w:t>
      </w:r>
      <w:r>
        <w:rPr>
          <w:rFonts w:ascii="Calibri" w:hAnsi="Calibri"/>
          <w:color w:val="525866"/>
          <w:sz w:val="22"/>
        </w:rPr>
        <w:t>SBAC's services business (~$200M annually) could face similar headwinds in Q2/Q3 if carrier decision-making has slowed. Watch for any commentary on services trajectory on the Q2 call. (Source: CCI Q2 2026 Earnings Call, July 22, 2026)</w:t>
      </w:r>
    </w:p>
    <w:p>
      <w:pPr>
        <w:pStyle w:val="ListBullet"/>
        <w:ind w:left="360" w:hanging="360"/>
      </w:pPr>
      <w:r>
        <w:rPr>
          <w:rFonts w:ascii="Calibri" w:hAnsi="Calibri"/>
          <w:b/>
          <w:color w:val="525866"/>
          <w:sz w:val="22"/>
        </w:rPr>
        <w:t>2026 = low point for organic growth; conviction on inflection</w:t>
      </w:r>
      <w:r>
        <w:rPr>
          <w:rFonts w:ascii="Calibri" w:hAnsi="Calibri"/>
          <w:color w:val="525866"/>
          <w:sz w:val="22"/>
        </w:rPr>
        <w:t>: CCI management stated explicitly that "2026 will mark the low point for organic growth," citing short-term MLA visibility, mid-term AT&amp;T 600MHz deployment catalyst, and long-term mobile data demand. This framing is directly aligned with SBAC's own messaging and provides independent validation of the sector's inflection narrative. (Source: CCI Q2 2026 Earnings Call, July 22, 2026)</w:t>
      </w:r>
    </w:p>
    <w:p>
      <w:pPr>
        <w:pStyle w:val="ListBullet"/>
        <w:ind w:left="360" w:hanging="360"/>
      </w:pPr>
      <w:r>
        <w:rPr>
          <w:rFonts w:ascii="Calibri" w:hAnsi="Calibri"/>
          <w:b/>
          <w:color w:val="525866"/>
          <w:sz w:val="22"/>
        </w:rPr>
        <w:t>Edge compute: Trials underway; growing interest but early days</w:t>
      </w:r>
      <w:r>
        <w:rPr>
          <w:rFonts w:ascii="Calibri" w:hAnsi="Calibri"/>
          <w:color w:val="525866"/>
          <w:sz w:val="22"/>
        </w:rPr>
        <w:t>: CCI has initiated several trials with edge data center providers and sees growing interest in its portfolio for distributed compute deployments (&lt;0.2MW). Characterizes the opportunity as "promising" with "increasing momentum." (Source: CCI Q2 2026 Earnings Call, July 22, 2026)</w:t>
      </w:r>
    </w:p>
    <w:p>
      <w:pPr>
        <w:pStyle w:val="ListBullet"/>
        <w:ind w:left="360" w:hanging="360"/>
      </w:pPr>
      <w:r>
        <w:rPr>
          <w:rFonts w:ascii="Calibri" w:hAnsi="Calibri"/>
          <w:b/>
          <w:color w:val="525866"/>
          <w:sz w:val="22"/>
        </w:rPr>
        <w:t>Spectrum pipeline: FCC to auction at least 165MHz between 2026–2027; AT&amp;T 600MHz acquisition expected to close July 2026</w:t>
      </w:r>
      <w:r>
        <w:rPr>
          <w:rFonts w:ascii="Calibri" w:hAnsi="Calibri"/>
          <w:color w:val="525866"/>
          <w:sz w:val="22"/>
        </w:rPr>
        <w:t>: CCI highlighted the FCC's plan to auction at least 165MHz in 2026–2027 and characterized AT&amp;T's 600MHz acquisition (closing ~July 2026) as a mid-term deployment catalyst. Higher spectrum bands (1–10GHz) seen as positive for densification. (Source: CCI Q2 2026 Earnings Call, July 22, 2026)</w:t>
      </w:r>
    </w:p>
    <w:p>
      <w:pPr>
        <w:pStyle w:val="Heading3"/>
      </w:pPr>
      <w:r>
        <w:rPr>
          <w:rFonts w:ascii="Calibri" w:hAnsi="Calibri"/>
          <w:b/>
          <w:color w:val="3B4259"/>
          <w:sz w:val="24"/>
        </w:rPr>
        <w:t>American Tower Corporation (AMT) — Q2 2026 Earnings (July 28, 2026)</w:t>
      </w:r>
    </w:p>
    <w:p>
      <w:r>
        <w:rPr>
          <w:rFonts w:ascii="Calibri" w:hAnsi="Calibri"/>
          <w:b/>
          <w:color w:val="525866"/>
          <w:sz w:val="22"/>
        </w:rPr>
        <w:t xml:space="preserve">Relevance: </w:t>
      </w:r>
      <w:r>
        <w:rPr>
          <w:rFonts w:ascii="Calibri" w:hAnsi="Calibri"/>
          <w:color w:val="525866"/>
          <w:sz w:val="22"/>
        </w:rPr>
        <w:t>AMT is the largest global tower operator and the most direct read-through for both U.S. domestic leasing trends and international tower dynamics. AMT reported Q2 2026 results on July 28 — just 6 days before SBAC's August 3 call.</w:t>
      </w:r>
    </w:p>
    <w:p>
      <w:pPr>
        <w:pStyle w:val="ListBullet"/>
        <w:ind w:left="360" w:hanging="360"/>
      </w:pPr>
      <w:r>
        <w:rPr>
          <w:rFonts w:ascii="Calibri" w:hAnsi="Calibri"/>
          <w:b/>
          <w:color w:val="525866"/>
          <w:sz w:val="22"/>
        </w:rPr>
        <w:t>U.S. &amp; Canada organic tenant billings growth: +0.7% in Q2 2026; ~5% ex-DISH churn</w:t>
      </w:r>
      <w:r>
        <w:rPr>
          <w:rFonts w:ascii="Calibri" w:hAnsi="Calibri"/>
          <w:color w:val="525866"/>
          <w:sz w:val="22"/>
        </w:rPr>
        <w:t>: AMT's reported U.S. organic growth of 0.7% is depressed by ~400 bps of DISH churn headwind. Stripping DISH, underlying U.S. demand is running at ~5% — consistent with SBAC's normalized framework. New business contribution to organic tenant billings is ~250 bps in 2026, "very consistent with last year." AMT is already seeing "a change in the volume of new co-locations" in its pipeline. (Source: AMT Q2 2026 Earnings Call and Earnings Release, July 28, 2026)</w:t>
      </w:r>
    </w:p>
    <w:p>
      <w:pPr>
        <w:pStyle w:val="ListBullet"/>
        <w:ind w:left="360" w:hanging="360"/>
      </w:pPr>
      <w:r>
        <w:rPr>
          <w:rFonts w:ascii="Calibri" w:hAnsi="Calibri"/>
          <w:b/>
          <w:color w:val="525866"/>
          <w:sz w:val="22"/>
        </w:rPr>
        <w:t>FY2026 U.S. organic tenant billings growth outlook: ~0.5% reported; ~4.5% ex-DISH</w:t>
      </w:r>
      <w:r>
        <w:rPr>
          <w:rFonts w:ascii="Calibri" w:hAnsi="Calibri"/>
          <w:color w:val="525866"/>
          <w:sz w:val="22"/>
        </w:rPr>
        <w:t>: AMT reiterated its full-year U.S. organic growth assumption of ~0.5% (reported) or ~4.5% normalized. The company raised its full-year property revenue outlook by $110M at the midpoint, driven by FX tailwinds, data center outperformance, and one-time expense benefits — not a change in U.S. tower demand assumptions. (Source: AMT Q2 2026 Earnings Release, July 28, 2026)</w:t>
      </w:r>
    </w:p>
    <w:p>
      <w:pPr>
        <w:pStyle w:val="ListBullet"/>
        <w:ind w:left="360" w:hanging="360"/>
      </w:pPr>
      <w:r>
        <w:rPr>
          <w:rFonts w:ascii="Calibri" w:hAnsi="Calibri"/>
          <w:b/>
          <w:color w:val="525866"/>
          <w:sz w:val="22"/>
        </w:rPr>
        <w:t>DISH churn: ~400 bps headwind in 2026; "on the other side" — no DISH churn in 2027</w:t>
      </w:r>
      <w:r>
        <w:rPr>
          <w:rFonts w:ascii="Calibri" w:hAnsi="Calibri"/>
          <w:color w:val="525866"/>
          <w:sz w:val="22"/>
        </w:rPr>
        <w:t xml:space="preserve">: AMT confirmed DISH equipment is still on towers (subject to litigation) and that DISH churn will not recur in 2027. This is a significant positive read-through for the sector — the largest single churn headwind for U.S. tower operators is a 2026-only event. </w:t>
      </w:r>
    </w:p>
    <w:p>
      <w:pPr>
        <w:pStyle w:val="ListBullet"/>
        <w:ind w:left="360" w:hanging="360"/>
      </w:pPr>
      <w:r>
        <w:rPr>
          <w:rFonts w:ascii="Calibri" w:hAnsi="Calibri"/>
          <w:b/>
          <w:color w:val="525866"/>
          <w:sz w:val="22"/>
        </w:rPr>
        <w:t xml:space="preserve">Read-through for SBAC: </w:t>
      </w:r>
      <w:r>
        <w:rPr>
          <w:rFonts w:ascii="Calibri" w:hAnsi="Calibri"/>
          <w:color w:val="525866"/>
          <w:sz w:val="22"/>
        </w:rPr>
        <w:t>SBAC's domestic churn rate is expected at ~7.2% in Q2 2026 (consensus), driven by Sprint and EchoStar. AMT's confirmation that DISH churn is a 2026-only event validates SBAC's own messaging that 2026 is the trough year for domestic churn. (Source: AMT Q2 2026 Earnings Call, July 28, 2026)</w:t>
      </w:r>
    </w:p>
    <w:p>
      <w:pPr>
        <w:pStyle w:val="ListBullet"/>
        <w:ind w:left="360" w:hanging="360"/>
      </w:pPr>
      <w:r>
        <w:rPr>
          <w:rFonts w:ascii="Calibri" w:hAnsi="Calibri"/>
          <w:b/>
          <w:color w:val="525866"/>
          <w:sz w:val="22"/>
        </w:rPr>
        <w:t>Carrier activity: No slowdown observed despite carrier headcount reductions</w:t>
      </w:r>
      <w:r>
        <w:rPr>
          <w:rFonts w:ascii="Calibri" w:hAnsi="Calibri"/>
          <w:color w:val="525866"/>
          <w:sz w:val="22"/>
        </w:rPr>
        <w:t>: AMT stated explicitly, "I wouldn't point to anything that's happening on their side as a slowdown or impacting our results" and that "new business levels are pretty consistent year over year." This directly contradicts CCI's services softness narrative and is a positive read-through for SBAC's leasing activity. (Source: AMT Q2 2026 Earnings Call, July 28, 2026)</w:t>
      </w:r>
    </w:p>
    <w:p>
      <w:pPr>
        <w:pStyle w:val="ListBullet"/>
        <w:ind w:left="360" w:hanging="360"/>
      </w:pPr>
      <w:r>
        <w:rPr>
          <w:rFonts w:ascii="Calibri" w:hAnsi="Calibri"/>
          <w:b/>
          <w:color w:val="525866"/>
          <w:sz w:val="22"/>
        </w:rPr>
        <w:t>Four demand catalysts identified for multi-year tower investment cycle</w:t>
      </w:r>
      <w:r>
        <w:rPr>
          <w:rFonts w:ascii="Calibri" w:hAnsi="Calibri"/>
          <w:color w:val="525866"/>
          <w:sz w:val="22"/>
        </w:rPr>
        <w:t>: AMT outlined four overlapping demand drivers: (1) 5G capacity phase requiring meaningful network densification; (2) ~800MHz of new spectrum coming to market starting with upper C-band in 2027; (3) 6G transition requiring additional equipment and increased site density; (4) AI applications driving uplink traffic growth rates exceeding downlink by &gt;50%, potentially requiring carriers to invest beyond existing roadmaps. (Source: AMT Q2 2026 Earnings Call, July 28, 2026)</w:t>
      </w:r>
    </w:p>
    <w:p>
      <w:pPr>
        <w:pStyle w:val="ListBullet"/>
        <w:ind w:left="360" w:hanging="360"/>
      </w:pPr>
      <w:r>
        <w:rPr>
          <w:rFonts w:ascii="Calibri" w:hAnsi="Calibri"/>
          <w:b/>
          <w:color w:val="525866"/>
          <w:sz w:val="22"/>
        </w:rPr>
        <w:t>2026 = trough for AFFO/share growth; inflection expected in 2027</w:t>
      </w:r>
      <w:r>
        <w:rPr>
          <w:rFonts w:ascii="Calibri" w:hAnsi="Calibri"/>
          <w:color w:val="525866"/>
          <w:sz w:val="22"/>
        </w:rPr>
        <w:t xml:space="preserve">: AMT stated "this year represents a trough for attributable AFFO per share growth as these headwinds ease heading into 2027." Normalized for DISH churn, refinancing headwinds, and services step-down, AMT would be at ~7% AFFO/share growth on an FX-neutral basis. AMT raised its FY2026 AFFO/share outlook by $0.09 at the midpoint. </w:t>
      </w:r>
    </w:p>
    <w:p>
      <w:pPr>
        <w:pStyle w:val="ListBullet"/>
        <w:ind w:left="360" w:hanging="360"/>
      </w:pPr>
      <w:r>
        <w:rPr>
          <w:rFonts w:ascii="Calibri" w:hAnsi="Calibri"/>
          <w:b/>
          <w:color w:val="525866"/>
          <w:sz w:val="22"/>
        </w:rPr>
        <w:t xml:space="preserve">Read-through for SBAC: </w:t>
      </w:r>
      <w:r>
        <w:rPr>
          <w:rFonts w:ascii="Calibri" w:hAnsi="Calibri"/>
          <w:color w:val="525866"/>
          <w:sz w:val="22"/>
        </w:rPr>
        <w:t>AMT's trough characterization and 2027 inflection narrative is directly aligned with SBAC's own multi-year AFFO/share growth framework (high-single-digit growth by 2028–29 as churn normalizes). AMT's beat-and-raise provides a positive sector setup heading into SBAC's print. (Source: AMT Q2 2026 Earnings Call and Earnings Release, July 28, 2026)</w:t>
      </w:r>
    </w:p>
    <w:p>
      <w:pPr>
        <w:pStyle w:val="ListBullet"/>
        <w:ind w:left="360" w:hanging="360"/>
      </w:pPr>
      <w:r>
        <w:rPr>
          <w:rFonts w:ascii="Calibri" w:hAnsi="Calibri"/>
          <w:b/>
          <w:color w:val="525866"/>
          <w:sz w:val="22"/>
        </w:rPr>
        <w:t>Refinancing headwind increased to ~150 bps (from ~100 bps) due to higher rates</w:t>
      </w:r>
      <w:r>
        <w:rPr>
          <w:rFonts w:ascii="Calibri" w:hAnsi="Calibri"/>
          <w:color w:val="525866"/>
          <w:sz w:val="22"/>
        </w:rPr>
        <w:t xml:space="preserve">: AMT's refinancing headwind increased by 50 bps vs. prior guidance due to higher interest rates. </w:t>
      </w:r>
    </w:p>
    <w:p>
      <w:pPr>
        <w:pStyle w:val="ListBullet"/>
        <w:ind w:left="360" w:hanging="360"/>
      </w:pPr>
      <w:r>
        <w:rPr>
          <w:rFonts w:ascii="Calibri" w:hAnsi="Calibri"/>
          <w:b/>
          <w:color w:val="525866"/>
          <w:sz w:val="22"/>
        </w:rPr>
        <w:t xml:space="preserve">Read-through for SBAC: </w:t>
      </w:r>
      <w:r>
        <w:rPr>
          <w:rFonts w:ascii="Calibri" w:hAnsi="Calibri"/>
          <w:color w:val="525866"/>
          <w:sz w:val="22"/>
        </w:rPr>
        <w:t>SBAC completed its own $3.5B unsecured notes offering at 4.875–5.45% in July 2026. The new rates are higher than legacy secured debt, creating a similar refinancing headwind dynamic. Watch for any updated interest expense guidance on the Q2 call. (Source: AMT Q2 2026 Earnings Call, July 28, 2026)</w:t>
      </w:r>
    </w:p>
    <w:p>
      <w:pPr>
        <w:pStyle w:val="ListBullet"/>
        <w:ind w:left="360" w:hanging="360"/>
      </w:pPr>
      <w:r>
        <w:rPr>
          <w:rFonts w:ascii="Calibri" w:hAnsi="Calibri"/>
          <w:b/>
          <w:color w:val="525866"/>
          <w:sz w:val="22"/>
        </w:rPr>
        <w:t>Services: Maintaining $245M FY2026 outlook; slightly front-end loaded with small step-down in H2</w:t>
      </w:r>
      <w:r>
        <w:rPr>
          <w:rFonts w:ascii="Calibri" w:hAnsi="Calibri"/>
          <w:color w:val="525866"/>
          <w:sz w:val="22"/>
        </w:rPr>
        <w:t>: Unlike CCI, AMT has not reduced its services revenue outlook. AMT noted a step-down from 2025 levels but characterized 2026 as "very consistent" internally. (Source: AMT Q2 2026 Earnings Call, July 28, 2026)</w:t>
      </w:r>
    </w:p>
    <w:p>
      <w:pPr>
        <w:pStyle w:val="Heading3"/>
      </w:pPr>
      <w:r>
        <w:rPr>
          <w:rFonts w:ascii="Calibri" w:hAnsi="Calibri"/>
          <w:b/>
          <w:color w:val="3B4259"/>
          <w:sz w:val="24"/>
        </w:rPr>
        <w:t>Peer Read-Through Summary</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CCI Signal (Jul 22)</w:t>
            </w:r>
          </w:p>
        </w:tc>
        <w:tc>
          <w:tcPr>
            <w:tcW w:type="dxa" w:w="2160"/>
            <w:shd w:val="clear" w:color="auto" w:fill="3B4259"/>
          </w:tcPr>
          <w:p>
            <w:r>
              <w:rPr>
                <w:rFonts w:ascii="Calibri" w:hAnsi="Calibri"/>
                <w:b/>
                <w:color w:val="FFFFFF"/>
                <w:sz w:val="22"/>
              </w:rPr>
              <w:t>AMT Signal (Jul 28)</w:t>
            </w:r>
          </w:p>
        </w:tc>
        <w:tc>
          <w:tcPr>
            <w:tcW w:type="dxa" w:w="2160"/>
            <w:shd w:val="clear" w:color="auto" w:fill="3B4259"/>
          </w:tcPr>
          <w:p>
            <w:r>
              <w:rPr>
                <w:rFonts w:ascii="Calibri" w:hAnsi="Calibri"/>
                <w:b/>
                <w:color w:val="FFFFFF"/>
                <w:sz w:val="22"/>
              </w:rPr>
              <w:t>SBAC Implication</w:t>
            </w:r>
          </w:p>
        </w:tc>
      </w:tr>
      <w:tr>
        <w:tc>
          <w:tcPr>
            <w:tcW w:type="dxa" w:w="2160"/>
          </w:tcPr>
          <w:p>
            <w:r>
              <w:rPr>
                <w:rFonts w:ascii="Calibri" w:hAnsi="Calibri"/>
                <w:sz w:val="22"/>
              </w:rPr>
              <w:t>U.S. Underlying Leasing Demand</w:t>
            </w:r>
          </w:p>
        </w:tc>
        <w:tc>
          <w:tcPr>
            <w:tcW w:type="dxa" w:w="2160"/>
          </w:tcPr>
          <w:p>
            <w:r>
              <w:rPr>
                <w:rFonts w:ascii="Calibri" w:hAnsi="Calibri"/>
                <w:b/>
                <w:color w:val="30A46C"/>
                <w:sz w:val="22"/>
              </w:rPr>
              <w:t>+3.9–4.2% ex-churn</w:t>
            </w:r>
          </w:p>
        </w:tc>
        <w:tc>
          <w:tcPr>
            <w:tcW w:type="dxa" w:w="2160"/>
          </w:tcPr>
          <w:p>
            <w:r>
              <w:rPr>
                <w:rFonts w:ascii="Calibri" w:hAnsi="Calibri"/>
                <w:b/>
                <w:color w:val="30A46C"/>
                <w:sz w:val="22"/>
              </w:rPr>
              <w:t>~5% ex-DISH; consistent YoY</w:t>
            </w:r>
          </w:p>
        </w:tc>
        <w:tc>
          <w:tcPr>
            <w:tcW w:type="dxa" w:w="2160"/>
          </w:tcPr>
          <w:p>
            <w:r>
              <w:rPr>
                <w:rFonts w:ascii="Calibri" w:hAnsi="Calibri"/>
                <w:sz w:val="22"/>
              </w:rPr>
              <w:t>Positive — validates SBAC's 4.5–5% normalized framework</w:t>
            </w:r>
          </w:p>
        </w:tc>
      </w:tr>
      <w:tr>
        <w:tc>
          <w:tcPr>
            <w:tcW w:type="dxa" w:w="2160"/>
          </w:tcPr>
          <w:p>
            <w:r>
              <w:rPr>
                <w:rFonts w:ascii="Calibri" w:hAnsi="Calibri"/>
                <w:sz w:val="22"/>
              </w:rPr>
              <w:t>DISH/EchoStar Churn</w:t>
            </w:r>
          </w:p>
        </w:tc>
        <w:tc>
          <w:tcPr>
            <w:tcW w:type="dxa" w:w="2160"/>
          </w:tcPr>
          <w:p>
            <w:r>
              <w:rPr>
                <w:rFonts w:ascii="Calibri" w:hAnsi="Calibri"/>
                <w:b/>
                <w:color w:val="E5484D"/>
                <w:sz w:val="22"/>
              </w:rPr>
              <w:t>$49M Q2 headwind; back-end loaded</w:t>
            </w:r>
          </w:p>
        </w:tc>
        <w:tc>
          <w:tcPr>
            <w:tcW w:type="dxa" w:w="2160"/>
          </w:tcPr>
          <w:p>
            <w:r>
              <w:rPr>
                <w:rFonts w:ascii="Calibri" w:hAnsi="Calibri"/>
                <w:b/>
                <w:color w:val="E5484D"/>
                <w:sz w:val="22"/>
              </w:rPr>
              <w:t>~400 bps headwind; 2026-only event</w:t>
            </w:r>
          </w:p>
        </w:tc>
        <w:tc>
          <w:tcPr>
            <w:tcW w:type="dxa" w:w="2160"/>
          </w:tcPr>
          <w:p>
            <w:r>
              <w:rPr>
                <w:rFonts w:ascii="Calibri" w:hAnsi="Calibri"/>
                <w:sz w:val="22"/>
              </w:rPr>
              <w:t>Neutral — confirms 2026 is the trough; no 2027 recurrence</w:t>
            </w:r>
          </w:p>
        </w:tc>
      </w:tr>
      <w:tr>
        <w:tc>
          <w:tcPr>
            <w:tcW w:type="dxa" w:w="2160"/>
          </w:tcPr>
          <w:p>
            <w:r>
              <w:rPr>
                <w:rFonts w:ascii="Calibri" w:hAnsi="Calibri"/>
                <w:sz w:val="22"/>
              </w:rPr>
              <w:t>EchoStar Escrow Recovery</w:t>
            </w:r>
          </w:p>
        </w:tc>
        <w:tc>
          <w:tcPr>
            <w:tcW w:type="dxa" w:w="2160"/>
          </w:tcPr>
          <w:p>
            <w:r>
              <w:rPr>
                <w:rFonts w:ascii="Calibri" w:hAnsi="Calibri"/>
                <w:b/>
                <w:color w:val="30A46C"/>
                <w:sz w:val="22"/>
              </w:rPr>
              <w:t>$2.4B escrow bankruptcy-remote; AT&amp;T closing catalyst</w:t>
            </w:r>
          </w:p>
        </w:tc>
        <w:tc>
          <w:tcPr>
            <w:tcW w:type="dxa" w:w="2160"/>
          </w:tcPr>
          <w:p>
            <w:r>
              <w:rPr>
                <w:rFonts w:ascii="Calibri" w:hAnsi="Calibri"/>
                <w:sz w:val="22"/>
              </w:rPr>
              <w:t>N/A (AMT not directly exposed)</w:t>
            </w:r>
          </w:p>
        </w:tc>
        <w:tc>
          <w:tcPr>
            <w:tcW w:type="dxa" w:w="2160"/>
          </w:tcPr>
          <w:p>
            <w:r>
              <w:rPr>
                <w:rFonts w:ascii="Calibri" w:hAnsi="Calibri"/>
                <w:sz w:val="22"/>
              </w:rPr>
              <w:t>Positive — escrow mechanism constructive for SBAC's ~$100M recovery</w:t>
            </w:r>
          </w:p>
        </w:tc>
      </w:tr>
      <w:tr>
        <w:tc>
          <w:tcPr>
            <w:tcW w:type="dxa" w:w="2160"/>
          </w:tcPr>
          <w:p>
            <w:r>
              <w:rPr>
                <w:rFonts w:ascii="Calibri" w:hAnsi="Calibri"/>
                <w:sz w:val="22"/>
              </w:rPr>
              <w:t>Services Activity</w:t>
            </w:r>
          </w:p>
        </w:tc>
        <w:tc>
          <w:tcPr>
            <w:tcW w:type="dxa" w:w="2160"/>
          </w:tcPr>
          <w:p>
            <w:r>
              <w:rPr>
                <w:rFonts w:ascii="Calibri" w:hAnsi="Calibri"/>
                <w:b/>
                <w:color w:val="E5484D"/>
                <w:sz w:val="22"/>
              </w:rPr>
              <w:t>$20M Q3 headwind; carrier layoffs slowing decisions</w:t>
            </w:r>
          </w:p>
        </w:tc>
        <w:tc>
          <w:tcPr>
            <w:tcW w:type="dxa" w:w="2160"/>
          </w:tcPr>
          <w:p>
            <w:r>
              <w:rPr>
                <w:rFonts w:ascii="Calibri" w:hAnsi="Calibri"/>
                <w:b/>
                <w:color w:val="30A46C"/>
                <w:sz w:val="22"/>
              </w:rPr>
              <w:t>Maintaining $245M FY outlook; consistent</w:t>
            </w:r>
          </w:p>
        </w:tc>
        <w:tc>
          <w:tcPr>
            <w:tcW w:type="dxa" w:w="2160"/>
          </w:tcPr>
          <w:p>
            <w:r>
              <w:rPr>
                <w:rFonts w:ascii="Calibri" w:hAnsi="Calibri"/>
                <w:sz w:val="22"/>
              </w:rPr>
              <w:t>Mixed — watch SBAC services commentary; CCI more cautious than AMT</w:t>
            </w:r>
          </w:p>
        </w:tc>
      </w:tr>
      <w:tr>
        <w:tc>
          <w:tcPr>
            <w:tcW w:type="dxa" w:w="2160"/>
          </w:tcPr>
          <w:p>
            <w:r>
              <w:rPr>
                <w:rFonts w:ascii="Calibri" w:hAnsi="Calibri"/>
                <w:sz w:val="22"/>
              </w:rPr>
              <w:t>2026 = Trough / 2027 Inflection</w:t>
            </w:r>
          </w:p>
        </w:tc>
        <w:tc>
          <w:tcPr>
            <w:tcW w:type="dxa" w:w="2160"/>
          </w:tcPr>
          <w:p>
            <w:r>
              <w:rPr>
                <w:rFonts w:ascii="Calibri" w:hAnsi="Calibri"/>
                <w:b/>
                <w:color w:val="30A46C"/>
                <w:sz w:val="22"/>
              </w:rPr>
              <w:t>Confirmed; conviction on inflection</w:t>
            </w:r>
          </w:p>
        </w:tc>
        <w:tc>
          <w:tcPr>
            <w:tcW w:type="dxa" w:w="2160"/>
          </w:tcPr>
          <w:p>
            <w:r>
              <w:rPr>
                <w:rFonts w:ascii="Calibri" w:hAnsi="Calibri"/>
                <w:b/>
                <w:color w:val="30A46C"/>
                <w:sz w:val="22"/>
              </w:rPr>
              <w:t>Confirmed; ~7% normalized AFFO growth</w:t>
            </w:r>
          </w:p>
        </w:tc>
        <w:tc>
          <w:tcPr>
            <w:tcW w:type="dxa" w:w="2160"/>
          </w:tcPr>
          <w:p>
            <w:r>
              <w:rPr>
                <w:rFonts w:ascii="Calibri" w:hAnsi="Calibri"/>
                <w:sz w:val="22"/>
              </w:rPr>
              <w:t>Positive — sector-wide validation of SBAC's trough narrative</w:t>
            </w:r>
          </w:p>
        </w:tc>
      </w:tr>
      <w:tr>
        <w:tc>
          <w:tcPr>
            <w:tcW w:type="dxa" w:w="2160"/>
          </w:tcPr>
          <w:p>
            <w:r>
              <w:rPr>
                <w:rFonts w:ascii="Calibri" w:hAnsi="Calibri"/>
                <w:sz w:val="22"/>
              </w:rPr>
              <w:t>Refinancing Headwind</w:t>
            </w:r>
          </w:p>
        </w:tc>
        <w:tc>
          <w:tcPr>
            <w:tcW w:type="dxa" w:w="2160"/>
          </w:tcPr>
          <w:p>
            <w:r>
              <w:rPr>
                <w:rFonts w:ascii="Calibri" w:hAnsi="Calibri"/>
                <w:sz w:val="22"/>
              </w:rPr>
              <w:t>N/A (CCI used fiber sale proceeds)</w:t>
            </w:r>
          </w:p>
        </w:tc>
        <w:tc>
          <w:tcPr>
            <w:tcW w:type="dxa" w:w="2160"/>
          </w:tcPr>
          <w:p>
            <w:r>
              <w:rPr>
                <w:rFonts w:ascii="Calibri" w:hAnsi="Calibri"/>
                <w:b/>
                <w:color w:val="E5484D"/>
                <w:sz w:val="22"/>
              </w:rPr>
              <w:t>~150 bps headwind; higher than prior guide</w:t>
            </w:r>
          </w:p>
        </w:tc>
        <w:tc>
          <w:tcPr>
            <w:tcW w:type="dxa" w:w="2160"/>
          </w:tcPr>
          <w:p>
            <w:r>
              <w:rPr>
                <w:rFonts w:ascii="Calibri" w:hAnsi="Calibri"/>
                <w:sz w:val="22"/>
              </w:rPr>
              <w:t>Negative — SBAC's July refinancing at 4.875–5.45% creates similar headwind</w:t>
            </w:r>
          </w:p>
        </w:tc>
      </w:tr>
      <w:tr>
        <w:tc>
          <w:tcPr>
            <w:tcW w:type="dxa" w:w="2160"/>
          </w:tcPr>
          <w:p>
            <w:r>
              <w:rPr>
                <w:rFonts w:ascii="Calibri" w:hAnsi="Calibri"/>
                <w:sz w:val="22"/>
              </w:rPr>
              <w:t>Spectrum / 6G Catalysts</w:t>
            </w:r>
          </w:p>
        </w:tc>
        <w:tc>
          <w:tcPr>
            <w:tcW w:type="dxa" w:w="2160"/>
          </w:tcPr>
          <w:p>
            <w:r>
              <w:rPr>
                <w:rFonts w:ascii="Calibri" w:hAnsi="Calibri"/>
                <w:b/>
                <w:color w:val="30A46C"/>
                <w:sz w:val="22"/>
              </w:rPr>
              <w:t>800MHz pipeline; AT&amp;T 600MHz mid-term driver</w:t>
            </w:r>
          </w:p>
        </w:tc>
        <w:tc>
          <w:tcPr>
            <w:tcW w:type="dxa" w:w="2160"/>
          </w:tcPr>
          <w:p>
            <w:r>
              <w:rPr>
                <w:rFonts w:ascii="Calibri" w:hAnsi="Calibri"/>
                <w:b/>
                <w:color w:val="30A46C"/>
                <w:sz w:val="22"/>
              </w:rPr>
              <w:t>4 overlapping demand catalysts; AI uplink growth</w:t>
            </w:r>
          </w:p>
        </w:tc>
        <w:tc>
          <w:tcPr>
            <w:tcW w:type="dxa" w:w="2160"/>
          </w:tcPr>
          <w:p>
            <w:r>
              <w:rPr>
                <w:rFonts w:ascii="Calibri" w:hAnsi="Calibri"/>
                <w:sz w:val="22"/>
              </w:rPr>
              <w:t>Positive — sector tailwinds building for 2027+</w:t>
            </w:r>
          </w:p>
        </w:tc>
      </w:tr>
    </w:tbl>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buys or discretionary sells from executives or directors since Q1 earnings — all Form 4 activity in the period reflects routine RSU vesting, stock option exercises, and annual director equity grants, none of which carry informational signal. The absence of any discretionary insider buying at current depressed price levels (~$181, well below the ~$200 average repurchase price cited by management) is notable but not alarming given the typical blackout period ahead of earnings.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Effective Date</w:t>
            </w:r>
          </w:p>
        </w:tc>
        <w:tc>
          <w:tcPr>
            <w:tcW w:type="dxa" w:w="1234"/>
            <w:shd w:val="clear" w:color="auto" w:fill="3B4259"/>
          </w:tcPr>
          <w:p>
            <w:r>
              <w:rPr>
                <w:rFonts w:ascii="Calibri" w:hAnsi="Calibri"/>
                <w:b/>
                <w:color w:val="FFFFFF"/>
                <w:sz w:val="22"/>
              </w:rPr>
              <w:t>Filing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Multiple Directors (9 individuals)</w:t>
            </w:r>
          </w:p>
        </w:tc>
        <w:tc>
          <w:tcPr>
            <w:tcW w:type="dxa" w:w="1234"/>
          </w:tcPr>
          <w:p>
            <w:r>
              <w:rPr>
                <w:rFonts w:ascii="Calibri" w:hAnsi="Calibri"/>
                <w:sz w:val="22"/>
              </w:rPr>
              <w:t>Director</w:t>
            </w:r>
          </w:p>
        </w:tc>
        <w:tc>
          <w:tcPr>
            <w:tcW w:type="dxa" w:w="1234"/>
          </w:tcPr>
          <w:p>
            <w:r>
              <w:rPr>
                <w:rFonts w:ascii="Calibri" w:hAnsi="Calibri"/>
                <w:sz w:val="22"/>
              </w:rPr>
              <w:t>RSU Grant (Code A)</w:t>
            </w:r>
          </w:p>
        </w:tc>
        <w:tc>
          <w:tcPr>
            <w:tcW w:type="dxa" w:w="1234"/>
          </w:tcPr>
          <w:p>
            <w:r>
              <w:rPr>
                <w:rFonts w:ascii="Calibri" w:hAnsi="Calibri"/>
                <w:sz w:val="22"/>
              </w:rPr>
              <w:t>1,108 each</w:t>
            </w:r>
          </w:p>
        </w:tc>
        <w:tc>
          <w:tcPr>
            <w:tcW w:type="dxa" w:w="1234"/>
          </w:tcPr>
          <w:p>
            <w:r>
              <w:rPr>
                <w:rFonts w:ascii="Calibri" w:hAnsi="Calibri"/>
                <w:sz w:val="22"/>
              </w:rPr>
              <w:t>May 22, 2026</w:t>
            </w:r>
          </w:p>
        </w:tc>
        <w:tc>
          <w:tcPr>
            <w:tcW w:type="dxa" w:w="1234"/>
          </w:tcPr>
          <w:p>
            <w:r>
              <w:rPr>
                <w:rFonts w:ascii="Calibri" w:hAnsi="Calibri"/>
                <w:sz w:val="22"/>
              </w:rPr>
              <w:t>May 27, 2026</w:t>
            </w:r>
          </w:p>
        </w:tc>
        <w:tc>
          <w:tcPr>
            <w:tcW w:type="dxa" w:w="1234"/>
          </w:tcPr>
          <w:p>
            <w:r>
              <w:rPr>
                <w:rFonts w:ascii="Calibri" w:hAnsi="Calibri"/>
                <w:sz w:val="22"/>
              </w:rPr>
              <w:t>Annual director equity grant; routine compensation; no informational signal</w:t>
            </w:r>
          </w:p>
        </w:tc>
      </w:tr>
      <w:tr>
        <w:tc>
          <w:tcPr>
            <w:tcW w:type="dxa" w:w="1234"/>
          </w:tcPr>
          <w:p>
            <w:r>
              <w:rPr>
                <w:rFonts w:ascii="Calibri" w:hAnsi="Calibri"/>
                <w:sz w:val="22"/>
              </w:rPr>
              <w:t>Beebe, Bernstein, Krouse, Langer (4 directors)</w:t>
            </w:r>
          </w:p>
        </w:tc>
        <w:tc>
          <w:tcPr>
            <w:tcW w:type="dxa" w:w="1234"/>
          </w:tcPr>
          <w:p>
            <w:r>
              <w:rPr>
                <w:rFonts w:ascii="Calibri" w:hAnsi="Calibri"/>
                <w:sz w:val="22"/>
              </w:rPr>
              <w:t>Director</w:t>
            </w:r>
          </w:p>
        </w:tc>
        <w:tc>
          <w:tcPr>
            <w:tcW w:type="dxa" w:w="1234"/>
          </w:tcPr>
          <w:p>
            <w:r>
              <w:rPr>
                <w:rFonts w:ascii="Calibri" w:hAnsi="Calibri"/>
                <w:sz w:val="22"/>
              </w:rPr>
              <w:t>Option Exercise + Tax Withholding (Codes M/F)</w:t>
            </w:r>
          </w:p>
        </w:tc>
        <w:tc>
          <w:tcPr>
            <w:tcW w:type="dxa" w:w="1234"/>
          </w:tcPr>
          <w:p>
            <w:r>
              <w:rPr>
                <w:rFonts w:ascii="Calibri" w:hAnsi="Calibri"/>
                <w:sz w:val="22"/>
              </w:rPr>
              <w:t>501–1,501 exercised; ~1,492–1,496 withheld for taxes</w:t>
            </w:r>
          </w:p>
        </w:tc>
        <w:tc>
          <w:tcPr>
            <w:tcW w:type="dxa" w:w="1234"/>
          </w:tcPr>
          <w:p>
            <w:r>
              <w:rPr>
                <w:rFonts w:ascii="Calibri" w:hAnsi="Calibri"/>
                <w:sz w:val="22"/>
              </w:rPr>
              <w:t>May 13, 2026</w:t>
            </w:r>
          </w:p>
        </w:tc>
        <w:tc>
          <w:tcPr>
            <w:tcW w:type="dxa" w:w="1234"/>
          </w:tcPr>
          <w:p>
            <w:r>
              <w:rPr>
                <w:rFonts w:ascii="Calibri" w:hAnsi="Calibri"/>
                <w:sz w:val="22"/>
              </w:rPr>
              <w:t>May 15, 2026</w:t>
            </w:r>
          </w:p>
        </w:tc>
        <w:tc>
          <w:tcPr>
            <w:tcW w:type="dxa" w:w="1234"/>
          </w:tcPr>
          <w:p>
            <w:r>
              <w:rPr>
                <w:rFonts w:ascii="Calibri" w:hAnsi="Calibri"/>
                <w:sz w:val="22"/>
              </w:rPr>
              <w:t>Routine option exercise with mandatory tax withholding; not a discretionary sale</w:t>
            </w:r>
          </w:p>
        </w:tc>
      </w:tr>
      <w:tr>
        <w:tc>
          <w:tcPr>
            <w:tcW w:type="dxa" w:w="1234"/>
          </w:tcPr>
          <w:p>
            <w:r>
              <w:rPr>
                <w:rFonts w:ascii="Calibri" w:hAnsi="Calibri"/>
                <w:sz w:val="22"/>
              </w:rPr>
              <w:t>Multiple Directors (8 individuals)</w:t>
            </w:r>
          </w:p>
        </w:tc>
        <w:tc>
          <w:tcPr>
            <w:tcW w:type="dxa" w:w="1234"/>
          </w:tcPr>
          <w:p>
            <w:r>
              <w:rPr>
                <w:rFonts w:ascii="Calibri" w:hAnsi="Calibri"/>
                <w:sz w:val="22"/>
              </w:rPr>
              <w:t>Director</w:t>
            </w:r>
          </w:p>
        </w:tc>
        <w:tc>
          <w:tcPr>
            <w:tcW w:type="dxa" w:w="1234"/>
          </w:tcPr>
          <w:p>
            <w:r>
              <w:rPr>
                <w:rFonts w:ascii="Calibri" w:hAnsi="Calibri"/>
                <w:sz w:val="22"/>
              </w:rPr>
              <w:t>RSU Vest + Tax Withholding (Codes M/F)</w:t>
            </w:r>
          </w:p>
        </w:tc>
        <w:tc>
          <w:tcPr>
            <w:tcW w:type="dxa" w:w="1234"/>
          </w:tcPr>
          <w:p>
            <w:r>
              <w:rPr>
                <w:rFonts w:ascii="Calibri" w:hAnsi="Calibri"/>
                <w:sz w:val="22"/>
              </w:rPr>
              <w:t>~881 vested; ~326 withheld for taxes</w:t>
            </w:r>
          </w:p>
        </w:tc>
        <w:tc>
          <w:tcPr>
            <w:tcW w:type="dxa" w:w="1234"/>
          </w:tcPr>
          <w:p>
            <w:r>
              <w:rPr>
                <w:rFonts w:ascii="Calibri" w:hAnsi="Calibri"/>
                <w:sz w:val="22"/>
              </w:rPr>
              <w:t>May 1, 2026</w:t>
            </w:r>
          </w:p>
        </w:tc>
        <w:tc>
          <w:tcPr>
            <w:tcW w:type="dxa" w:w="1234"/>
          </w:tcPr>
          <w:p>
            <w:r>
              <w:rPr>
                <w:rFonts w:ascii="Calibri" w:hAnsi="Calibri"/>
                <w:sz w:val="22"/>
              </w:rPr>
              <w:t>May 5, 2026</w:t>
            </w:r>
          </w:p>
        </w:tc>
        <w:tc>
          <w:tcPr>
            <w:tcW w:type="dxa" w:w="1234"/>
          </w:tcPr>
          <w:p>
            <w:r>
              <w:rPr>
                <w:rFonts w:ascii="Calibri" w:hAnsi="Calibri"/>
                <w:sz w:val="22"/>
              </w:rPr>
              <w:t>Routine RSU vesting with mandatory tax withholding; not a discretionary sale</w:t>
            </w:r>
          </w:p>
        </w:tc>
      </w:tr>
      <w:tr>
        <w:tc>
          <w:tcPr>
            <w:tcW w:type="dxa" w:w="1234"/>
          </w:tcPr>
          <w:p>
            <w:r>
              <w:rPr>
                <w:rFonts w:ascii="Calibri" w:hAnsi="Calibri"/>
                <w:sz w:val="22"/>
              </w:rPr>
              <w:t>Stoops, Jeffrey (Chairman)</w:t>
            </w:r>
          </w:p>
        </w:tc>
        <w:tc>
          <w:tcPr>
            <w:tcW w:type="dxa" w:w="1234"/>
          </w:tcPr>
          <w:p>
            <w:r>
              <w:rPr>
                <w:rFonts w:ascii="Calibri" w:hAnsi="Calibri"/>
                <w:sz w:val="22"/>
              </w:rPr>
              <w:t>Chairman, Director</w:t>
            </w:r>
          </w:p>
        </w:tc>
        <w:tc>
          <w:tcPr>
            <w:tcW w:type="dxa" w:w="1234"/>
          </w:tcPr>
          <w:p>
            <w:r>
              <w:rPr>
                <w:rFonts w:ascii="Calibri" w:hAnsi="Calibri"/>
                <w:sz w:val="22"/>
              </w:rPr>
              <w:t>RSU Vest (Code M)</w:t>
            </w:r>
          </w:p>
        </w:tc>
        <w:tc>
          <w:tcPr>
            <w:tcW w:type="dxa" w:w="1234"/>
          </w:tcPr>
          <w:p>
            <w:r>
              <w:rPr>
                <w:rFonts w:ascii="Calibri" w:hAnsi="Calibri"/>
                <w:sz w:val="22"/>
              </w:rPr>
              <w:t>633 vested</w:t>
            </w:r>
          </w:p>
        </w:tc>
        <w:tc>
          <w:tcPr>
            <w:tcW w:type="dxa" w:w="1234"/>
          </w:tcPr>
          <w:p>
            <w:r>
              <w:rPr>
                <w:rFonts w:ascii="Calibri" w:hAnsi="Calibri"/>
                <w:sz w:val="22"/>
              </w:rPr>
              <w:t>May 1, 2026</w:t>
            </w:r>
          </w:p>
        </w:tc>
        <w:tc>
          <w:tcPr>
            <w:tcW w:type="dxa" w:w="1234"/>
          </w:tcPr>
          <w:p>
            <w:r>
              <w:rPr>
                <w:rFonts w:ascii="Calibri" w:hAnsi="Calibri"/>
                <w:sz w:val="22"/>
              </w:rPr>
              <w:t>May 5, 2026</w:t>
            </w:r>
          </w:p>
        </w:tc>
        <w:tc>
          <w:tcPr>
            <w:tcW w:type="dxa" w:w="1234"/>
          </w:tcPr>
          <w:p>
            <w:r>
              <w:rPr>
                <w:rFonts w:ascii="Calibri" w:hAnsi="Calibri"/>
                <w:sz w:val="22"/>
              </w:rPr>
              <w:t>Routine RSU vesting; no discretionary sale; Chairman retains 141,465 shares post-vest</w:t>
            </w:r>
          </w:p>
        </w:tc>
      </w:tr>
    </w:tbl>
    <w:p>
      <w:r>
        <w:rPr>
          <w:rFonts w:ascii="Calibri" w:hAnsi="Calibri"/>
          <w:i/>
          <w:color w:val="525866"/>
          <w:sz w:val="22"/>
        </w:rPr>
        <w:t xml:space="preserve">Source: SEC Form 4 Filings (Insider Transaction Data). All transactions reflect effective/action dates; filing dates shown separately. </w:t>
      </w:r>
      <w:r>
        <w:rPr>
          <w:rFonts w:ascii="Calibri" w:hAnsi="Calibri"/>
          <w:color w:val="525866"/>
          <w:sz w:val="22"/>
        </w:rPr>
        <w:t>No open-market purchases (Code P) or discretionary sales (Code S) were filed by any SBAC insider during the period from April 29 to August 2, 2026. All activity consists of routine compensation-related transactions (RSU grants, RSU vesting, option exercises) with associated mandatory tax withholding dispositions — none of which carry directional signal. The company is likely in a blackout period ahead of the August 3 earnings call, which would preclude any discretionary trading.</w:t>
      </w:r>
    </w:p>
    <w:p>
      <w:pPr>
        <w:pStyle w:val="Heading2"/>
      </w:pPr>
      <w:r>
        <w:rPr>
          <w:rFonts w:ascii="Calibri" w:hAnsi="Calibri"/>
          <w:b/>
          <w:color w:val="3B4259"/>
          <w:sz w:val="28"/>
        </w:rPr>
        <w:t>Disclosures &amp; Data Sources</w:t>
      </w:r>
    </w:p>
    <w:p>
      <w:pPr>
        <w:pStyle w:val="ListBullet"/>
        <w:ind w:left="360" w:hanging="360"/>
      </w:pPr>
      <w:r>
        <w:rPr>
          <w:rFonts w:ascii="Calibri" w:hAnsi="Calibri"/>
          <w:color w:val="525866"/>
          <w:sz w:val="22"/>
        </w:rPr>
        <w:t>Visible Alpha Consensus and Actuals Data</w:t>
      </w:r>
    </w:p>
    <w:p>
      <w:pPr>
        <w:pStyle w:val="ListBullet"/>
        <w:ind w:left="360" w:hanging="360"/>
      </w:pPr>
      <w:r>
        <w:rPr>
          <w:rFonts w:ascii="Calibri" w:hAnsi="Calibri"/>
          <w:color w:val="525866"/>
          <w:sz w:val="22"/>
        </w:rPr>
        <w:t>SBAC Q1 2026 Earnings Call Transcript and Earnings Release (April 29, 2026)</w:t>
      </w:r>
    </w:p>
    <w:p>
      <w:pPr>
        <w:pStyle w:val="ListBullet"/>
        <w:ind w:left="360" w:hanging="360"/>
      </w:pPr>
      <w:r>
        <w:rPr>
          <w:rFonts w:ascii="Calibri" w:hAnsi="Calibri"/>
          <w:color w:val="525866"/>
          <w:sz w:val="22"/>
        </w:rPr>
        <w:t>JP Morgan Global Technology, Media and Communications Conference Transcript — SBAC CFO Marc Montagner (May 18, 2026)</w:t>
      </w:r>
    </w:p>
    <w:p>
      <w:pPr>
        <w:pStyle w:val="ListBullet"/>
        <w:ind w:left="360" w:hanging="360"/>
      </w:pPr>
      <w:r>
        <w:rPr>
          <w:rFonts w:ascii="Calibri" w:hAnsi="Calibri"/>
          <w:color w:val="525866"/>
          <w:sz w:val="22"/>
        </w:rPr>
        <w:t>SBAC 8-K Filings: Debt Pricing (July 15, 2026), Notes Offering Closing (July 23, 2026), Credit Agreement (July 24, 2026)</w:t>
      </w:r>
    </w:p>
    <w:p>
      <w:pPr>
        <w:pStyle w:val="ListBullet"/>
        <w:ind w:left="360" w:hanging="360"/>
      </w:pPr>
      <w:r>
        <w:rPr>
          <w:rFonts w:ascii="Calibri" w:hAnsi="Calibri"/>
          <w:color w:val="525866"/>
          <w:sz w:val="22"/>
        </w:rPr>
        <w:t>Crown Castle International (CCI) Q2 2026 Earnings Call Transcript and Earnings Release (July 22, 2026)</w:t>
      </w:r>
    </w:p>
    <w:p>
      <w:pPr>
        <w:pStyle w:val="ListBullet"/>
        <w:ind w:left="360" w:hanging="360"/>
      </w:pPr>
      <w:r>
        <w:rPr>
          <w:rFonts w:ascii="Calibri" w:hAnsi="Calibri"/>
          <w:color w:val="525866"/>
          <w:sz w:val="22"/>
        </w:rPr>
        <w:t>American Tower Corporation (AMT) Q2 2026 Earnings Call Transcript and Earnings Release (July 28, 2026)</w:t>
      </w:r>
    </w:p>
    <w:p>
      <w:pPr>
        <w:pStyle w:val="ListBullet"/>
        <w:ind w:left="360" w:hanging="360"/>
      </w:pPr>
      <w:r>
        <w:rPr>
          <w:rFonts w:ascii="Calibri" w:hAnsi="Calibri"/>
          <w:color w:val="525866"/>
          <w:sz w:val="22"/>
        </w:rPr>
        <w:t>SEC Form 4 Insider Transaction Filings (May 2026)</w:t>
      </w:r>
    </w:p>
    <w:p>
      <w:pPr>
        <w:pStyle w:val="ListBullet"/>
        <w:ind w:left="360" w:hanging="360"/>
      </w:pPr>
      <w:r>
        <w:rPr>
          <w:rFonts w:ascii="Calibri" w:hAnsi="Calibri"/>
          <w:color w:val="525866"/>
          <w:sz w:val="22"/>
        </w:rPr>
        <w:t>Stock Price Data: Yahoo Finance (SBAC, VNQ, SPY; April 29 – July 31, 2026)</w:t>
      </w:r>
    </w:p>
    <w:p>
      <w:pPr>
        <w:pStyle w:val="ListBullet"/>
        <w:ind w:left="360" w:hanging="360"/>
      </w:pPr>
      <w:r>
        <w:rPr>
          <w:rFonts w:ascii="Calibri" w:hAnsi="Calibri"/>
          <w:color w:val="525866"/>
          <w:sz w:val="22"/>
        </w:rPr>
        <w:t>This document is prepared for informational purposes only and does not constitute investment advice.</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