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ux-earnings-predictions--2026-07-29"/>
    <w:p>
      <w:pPr>
        <w:pStyle w:val="Heading1"/>
      </w:pPr>
      <w:r>
        <w:t xml:space="preserve">SBUX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store sales growth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~6.7% vs. cons 5.75%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~12.7% vs. cons 12.3%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global/U.S. comparable 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~6%+ vs. cons ~5.5%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2.40</m:t>
              </m:r>
              <m:r>
                <m:rPr>
                  <m:sty m:val="p"/>
                </m:rPr>
                <m:t>−</m:t>
              </m:r>
            </m:oMath>
            <w:r>
              <w:t xml:space="preserve">2.55 (mid $2.48) vs. cons $2.35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net revenue guidance (China JV deconsolidation drag)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 0% vs. cons -0.5%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~+40-60bps yoy vs. cons ~+20bps yoy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Comps/EPS/margin beat plus a comp and EPS guide raise should support an initial pop similar in direction to the ~8.5% Q2 reaction, but muted in magnitude because buy-side whisper numbers (UBS ~7% comps) already sit above the official 5.75% Street consensus and the stock is up ~25% YTD near highs, leaving less room for surprise. The China JV deconsolidation mechanically cuts headline revenue (already flagged, not a new negative), so out-period EPS/comp revisions should move up modestly on the raise without a offsetting round of consensus cuts elsewhere - net picture is a held gap rather than a strong follow-through melt-up or a fade, consistent with the flat/consolidating price action seen in the five sessions after the April Q2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2026-07-29T01:16:21Z</dcterms:created>
  <dcterms:modified xsi:type="dcterms:W3CDTF">2026-07-29T01:16:21Z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