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6" w:name="X384b3d1b29c985b4b0e5e1d7db3c71d7eedc902"/>
    <w:p>
      <w:pPr>
        <w:pStyle w:val="Heading1"/>
      </w:pPr>
      <w:r>
        <w:t xml:space="preserve">Starbucks (SBUX) — Q3 FY2026 Earnings Preview</w:t>
      </w:r>
    </w:p>
    <w:p>
      <w:pPr>
        <w:pStyle w:val="FirstParagraph"/>
      </w:pPr>
      <w:r>
        <w:rPr>
          <w:b/>
          <w:bCs/>
        </w:rPr>
        <w:t xml:space="preserve">Reports:</w:t>
      </w:r>
      <w:r>
        <w:t xml:space="preserve"> </w:t>
      </w:r>
      <w:r>
        <w:t xml:space="preserve">Wednesday, July 29, 2026, after market close |</w:t>
      </w:r>
      <w:r>
        <w:t xml:space="preserve"> </w:t>
      </w:r>
      <w:r>
        <w:rPr>
          <w:b/>
          <w:bCs/>
        </w:rPr>
        <w:t xml:space="preserve">Call:</w:t>
      </w:r>
      <w:r>
        <w:t xml:space="preserve"> </w:t>
      </w:r>
      <w:r>
        <w:t xml:space="preserve">1:15pm PT</w:t>
      </w:r>
    </w:p>
    <w:p>
      <w:r>
        <w:pict>
          <v:rect style="width:0;height:1.5pt" o:hralign="center" o:hrstd="t" o:hr="t"/>
        </w:pict>
      </w:r>
    </w:p>
    <w:bookmarkStart w:id="9" w:name="setup-a-turnaround-finding-its-legs"/>
    <w:p>
      <w:pPr>
        <w:pStyle w:val="Heading2"/>
      </w:pPr>
      <w:r>
        <w:t xml:space="preserve">Setup: A Turnaround Finding Its Legs</w:t>
      </w:r>
    </w:p>
    <w:p>
      <w:pPr>
        <w:pStyle w:val="FirstParagraph"/>
      </w:pPr>
      <w:r>
        <w:t xml:space="preserve">Starbucks heads into this print with the most goodwill it has enjoyed in years. The stock has run from roughly</w:t>
      </w:r>
      <w:r>
        <w:t xml:space="preserve"> </w:t>
      </w:r>
      <m:oMath>
        <m:r>
          <m:t>84</m:t>
        </m:r>
        <m:r>
          <m:t>i</m:t>
        </m:r>
        <m:r>
          <m:t>n</m:t>
        </m:r>
        <m:r>
          <m:t>e</m:t>
        </m:r>
        <m:r>
          <m:t>a</m:t>
        </m:r>
        <m:r>
          <m:t>r</m:t>
        </m:r>
        <m:r>
          <m:t>l</m:t>
        </m:r>
        <m:r>
          <m:t>y</m:t>
        </m:r>
        <m:r>
          <m:t>J</m:t>
        </m:r>
        <m:r>
          <m:t>a</m:t>
        </m:r>
        <m:r>
          <m:t>n</m:t>
        </m:r>
        <m:r>
          <m:t>u</m:t>
        </m:r>
        <m:r>
          <m:t>a</m:t>
        </m:r>
        <m:r>
          <m:t>r</m:t>
        </m:r>
        <m:r>
          <m:t>y</m:t>
        </m:r>
        <m:r>
          <m:t>t</m:t>
        </m:r>
        <m:r>
          <m:t>o</m:t>
        </m:r>
        <m:r>
          <m:t>t</m:t>
        </m:r>
        <m:r>
          <m:t>h</m:t>
        </m:r>
        <m:r>
          <m:t>e</m:t>
        </m:r>
        <m:r>
          <m:t>l</m:t>
        </m:r>
        <m:r>
          <m:t>o</m:t>
        </m:r>
        <m:r>
          <m:t>w</m:t>
        </m:r>
        <m:r>
          <m:rPr>
            <m:sty m:val="p"/>
          </m:rPr>
          <m:t>−</m:t>
        </m:r>
      </m:oMath>
      <w:r>
        <w:t xml:space="preserve">100s today, with a sharp ~8% pop the day after the Q2 (fiscal March quarter) report confirmed the "Back to Starbucks" plan was finally showing up in the P&amp;L. CEO Brian Niccol framed Q2 as the inflection point: global comps of +6.2%, driven by transaction growth, and the company's first quarter of both top- and bottom-line growth in over two years. North America and U.S. comps accelerated to +7.1%, with transactions up more than 4% — the strongest transaction growth in three years — while all ten of the company's largest international markets, including China, posted positive comps simultaneously for the first time in nine quarters.</w:t>
      </w:r>
    </w:p>
    <w:p>
      <w:pPr>
        <w:pStyle w:val="BodyText"/>
      </w:pPr>
      <w:r>
        <w:t xml:space="preserve">Management raised FY26 guidance off that quarter: global/U.S. comp growth of "5% or better," and non-GAAP EPS of</w:t>
      </w:r>
      <w:r>
        <w:t xml:space="preserve"> </w:t>
      </w:r>
      <m:oMath>
        <m:r>
          <m:t>2.25</m:t>
        </m:r>
        <m:r>
          <m:rPr>
            <m:sty m:val="p"/>
          </m:rPr>
          <m:t>–</m:t>
        </m:r>
      </m:oMath>
      <w:r>
        <w:t xml:space="preserve">2.45. The market now largely believes the turnaround has "turned," and expectations for Q3 are elevated accordingly. Sentiment is bullish, with the Street modeling total comparable sales growth of about +5.75% (North America +6%), operating margin expansion of roughly 220 bps year-over-year to ~12.3%, and EPS near $0.65. With comps, margins and sentiment all having moved up together, the bar for this print is high — a "good but not great" quarter could disappoint given how much optimism is already priced in.</w:t>
      </w:r>
    </w:p>
    <w:bookmarkEnd w:id="9"/>
    <w:bookmarkStart w:id="10" w:name="X7f24539417f3e3172ce9571bf556e619f58a857"/>
    <w:p>
      <w:pPr>
        <w:pStyle w:val="Heading2"/>
      </w:pPr>
      <w:r>
        <w:t xml:space="preserve">The Big Structural Wrinkle: China Deconsolidation</w:t>
      </w:r>
    </w:p>
    <w:p>
      <w:pPr>
        <w:pStyle w:val="FirstParagraph"/>
      </w:pPr>
      <w:r>
        <w:t xml:space="preserve">The single most important mechanical item for this quarter is</w:t>
      </w:r>
      <w:r>
        <w:t xml:space="preserve"> </w:t>
      </w:r>
      <w:r>
        <w:rPr>
          <w:b/>
          <w:bCs/>
        </w:rPr>
        <w:t xml:space="preserve">not</w:t>
      </w:r>
      <w:r>
        <w:t xml:space="preserve"> </w:t>
      </w:r>
      <w:r>
        <w:t xml:space="preserve">operating performance — it's accounting. Starbucks closed its previously announced joint venture with Boyu Capital shortly after the Q2 close, under which Boyu-managed funds now hold a 60% stake in Starbucks' China retail operations while Starbucks retains 40% and continues to own/license the brand. Beginning in Q3, China retail operations are deconsolidated and folded into the broader licensed portfolio, and the company will</w:t>
      </w:r>
      <w:r>
        <w:t xml:space="preserve"> </w:t>
      </w:r>
      <w:r>
        <w:rPr>
          <w:b/>
          <w:bCs/>
        </w:rPr>
        <w:t xml:space="preserve">stop reporting standalone China revenue and comps</w:t>
      </w:r>
      <w:r>
        <w:t xml:space="preserve">. Management flagged that in the back half of FY26, China-related revenue will run at less than 20% of what it would have been under the old company-operated structure, and guided full-year consolidated revenue to be</w:t>
      </w:r>
      <w:r>
        <w:t xml:space="preserve"> </w:t>
      </w:r>
      <w:r>
        <w:rPr>
          <w:b/>
          <w:bCs/>
        </w:rPr>
        <w:t xml:space="preserve">roughly flat year-over-year</w:t>
      </w:r>
      <w:r>
        <w:t xml:space="preserve"> </w:t>
      </w:r>
      <w:r>
        <w:t xml:space="preserve">as a result — even though the underlying business is growing nicely. Investors should expect:</w:t>
      </w:r>
    </w:p>
    <w:p>
      <w:pPr>
        <w:pStyle w:val="Compact"/>
        <w:numPr>
          <w:ilvl w:val="0"/>
          <w:numId w:val="1001"/>
        </w:numPr>
      </w:pPr>
      <w:r>
        <w:t xml:space="preserve">A much smaller headline consolidated revenue number than the strong comp/traffic trends would otherwise suggest.</w:t>
      </w:r>
    </w:p>
    <w:p>
      <w:pPr>
        <w:pStyle w:val="Compact"/>
        <w:numPr>
          <w:ilvl w:val="0"/>
          <w:numId w:val="1001"/>
        </w:numPr>
      </w:pPr>
      <w:r>
        <w:t xml:space="preserve">A one-time or continuing gain/transaction accounting related to the ~</w:t>
      </w:r>
      <m:oMath>
        <m:r>
          <m:t>13</m:t>
        </m:r>
        <m:r>
          <m:t>b</m:t>
        </m:r>
        <m:r>
          <m:t>i</m:t>
        </m:r>
        <m:r>
          <m:t>l</m:t>
        </m:r>
        <m:r>
          <m:t>l</m:t>
        </m:r>
        <m:r>
          <m:t>i</m:t>
        </m:r>
        <m:r>
          <m:t>o</m:t>
        </m:r>
        <m:r>
          <m:t>n</m:t>
        </m:r>
        <m:r>
          <m:t>t</m:t>
        </m:r>
        <m:r>
          <m:t>o</m:t>
        </m:r>
        <m:r>
          <m:t>t</m:t>
        </m:r>
        <m:r>
          <m:t>a</m:t>
        </m:r>
        <m:r>
          <m:t>l</m:t>
        </m:r>
        <m:r>
          <m:t>d</m:t>
        </m:r>
        <m:r>
          <m:t>e</m:t>
        </m:r>
        <m:r>
          <m:t>a</m:t>
        </m:r>
        <m:r>
          <m:t>l</m:t>
        </m:r>
        <m:r>
          <m:t>v</m:t>
        </m:r>
        <m:r>
          <m:t>a</m:t>
        </m:r>
        <m:r>
          <m:t>l</m:t>
        </m:r>
        <m:r>
          <m:t>u</m:t>
        </m:r>
        <m:r>
          <m:t>e</m:t>
        </m:r>
        <m:r>
          <m:t>a</m:t>
        </m:r>
        <m:r>
          <m:t>n</m:t>
        </m:r>
        <m:r>
          <m:t>d</m:t>
        </m:r>
        <m:r>
          <m:t> </m:t>
        </m:r>
      </m:oMath>
      <w:r>
        <w:t xml:space="preserve">3.1 billion of gross cash proceeds (management said it was still evaluating the resulting gain and excluded it from projections).</w:t>
      </w:r>
    </w:p>
    <w:p>
      <w:pPr>
        <w:pStyle w:val="Compact"/>
        <w:numPr>
          <w:ilvl w:val="0"/>
          <w:numId w:val="1001"/>
        </w:numPr>
      </w:pPr>
      <w:r>
        <w:t xml:space="preserve">Commentary on debt paydown — proceeds were earmarked for further debt reduction after repaying a $1 billion February maturity, consistent with maintaining the BBB+/Baa1 investment-grade rating.</w:t>
      </w:r>
    </w:p>
    <w:p>
      <w:pPr>
        <w:pStyle w:val="Compact"/>
        <w:numPr>
          <w:ilvl w:val="0"/>
          <w:numId w:val="1001"/>
        </w:numPr>
      </w:pPr>
      <w:r>
        <w:t xml:space="preserve">A structurally higher long-term China margin profile, since the JV is expected to be margin-accretive with roughly half of licensing revenue flowing to operating income.</w:t>
      </w:r>
    </w:p>
    <w:bookmarkEnd w:id="10"/>
    <w:bookmarkStart w:id="11" w:name="X3d27819a28fd7e7913b3e7da42674449c383256"/>
    <w:p>
      <w:pPr>
        <w:pStyle w:val="Heading2"/>
      </w:pPr>
      <w:r>
        <w:t xml:space="preserve">What Drove Q2 and What to Watch for Continuation in Q3</w:t>
      </w:r>
    </w:p>
    <w:p>
      <w:pPr>
        <w:pStyle w:val="Compact"/>
        <w:numPr>
          <w:ilvl w:val="0"/>
          <w:numId w:val="1002"/>
        </w:numPr>
      </w:pPr>
      <w:r>
        <w:rPr>
          <w:b/>
          <w:bCs/>
        </w:rPr>
        <w:t xml:space="preserve">Green Apron Service / Grow scorecard</w:t>
      </w:r>
      <w:r>
        <w:t xml:space="preserve">: The percentage of U.S. company-operated stores hitting "4+ shot" performance rose over 30 points since October, and management said customer experience scores and throughput kept improving monthly through April. Roughly 80% of stores were hitting service-time targets (4 min café / 4 min drive-thru / &lt;12 min mobile order) as of Q2, with ~40% of stores still below the top scorecard tier — implying continued room for operational upside.</w:t>
      </w:r>
    </w:p>
    <w:p>
      <w:pPr>
        <w:pStyle w:val="Compact"/>
        <w:numPr>
          <w:ilvl w:val="0"/>
          <w:numId w:val="1002"/>
        </w:numPr>
      </w:pPr>
      <w:r>
        <w:rPr>
          <w:b/>
          <w:bCs/>
        </w:rPr>
        <w:t xml:space="preserve">Store "uplifts" and remodels</w:t>
      </w:r>
      <w:r>
        <w:t xml:space="preserve">: More than 300 café refreshes were complete by Q2, with a target of 1,000+ in the top 20 markets by fiscal year-end — a real physical signal of reinvestment in the "third place."</w:t>
      </w:r>
    </w:p>
    <w:p>
      <w:pPr>
        <w:pStyle w:val="Compact"/>
        <w:numPr>
          <w:ilvl w:val="0"/>
          <w:numId w:val="1002"/>
        </w:numPr>
      </w:pPr>
      <w:r>
        <w:rPr>
          <w:b/>
          <w:bCs/>
        </w:rPr>
        <w:t xml:space="preserve">Loyalty relaunch</w:t>
      </w:r>
      <w:r>
        <w:t xml:space="preserve">: The new three-tier Rewards program (Green/Gold/Reserve) launched in March; 90-day active membership hit a record 35.6 million, up 4% year-over-year, bucking the seasonal dip usually seen in the quarter. Watch for updated engagement/frequency data now that the program has had a full quarter to mature.</w:t>
      </w:r>
    </w:p>
    <w:p>
      <w:pPr>
        <w:pStyle w:val="Compact"/>
        <w:numPr>
          <w:ilvl w:val="0"/>
          <w:numId w:val="1002"/>
        </w:numPr>
      </w:pPr>
      <w:r>
        <w:rPr>
          <w:b/>
          <w:bCs/>
        </w:rPr>
        <w:t xml:space="preserve">Menu/marketing innovation</w:t>
      </w:r>
      <w:r>
        <w:t xml:space="preserve">: Refreshers (now a ~$2 billion platform) with customizable energy levels, Cold Foam (+40% platform growth), bakery/food attach, and delivery (+30% year-to-date in U.S. company-operated) were all incremental growth drivers — watch for read-through from the summer menu launch.</w:t>
      </w:r>
    </w:p>
    <w:p>
      <w:pPr>
        <w:pStyle w:val="Compact"/>
        <w:numPr>
          <w:ilvl w:val="0"/>
          <w:numId w:val="1002"/>
        </w:numPr>
      </w:pPr>
      <w:r>
        <w:rPr>
          <w:b/>
          <w:bCs/>
        </w:rPr>
        <w:t xml:space="preserve">Margin cost pressure — coffee and tariffs</w:t>
      </w:r>
      <w:r>
        <w:t xml:space="preserve">: North America operating margin actually</w:t>
      </w:r>
      <w:r>
        <w:t xml:space="preserve"> </w:t>
      </w:r>
      <w:r>
        <w:rPr>
          <w:i/>
          <w:iCs/>
        </w:rPr>
        <w:t xml:space="preserve">contracted</w:t>
      </w:r>
      <w:r>
        <w:t xml:space="preserve"> </w:t>
      </w:r>
      <w:r>
        <w:t xml:space="preserve">~170 bps in Q2 to 9.9%, hurt by ~190 bps of product/distribution cost inflation, roughly half from innovation-driven mix and half from tariffs and elevated (nearly $1/lb higher year-over-year) coffee prices, plus larger-than-expected legal accruals. Management explicitly guided that these pressures should</w:t>
      </w:r>
      <w:r>
        <w:t xml:space="preserve"> </w:t>
      </w:r>
      <w:r>
        <w:rPr>
          <w:b/>
          <w:bCs/>
        </w:rPr>
        <w:t xml:space="preserve">moderate in the back half of FY26</w:t>
      </w:r>
      <w:r>
        <w:t xml:space="preserve"> </w:t>
      </w:r>
      <w:r>
        <w:t xml:space="preserve">(i.e., starting this quarter) as coffee costs ease and tariff impacts roll through inventory — this is a key swing factor for whether Q3 margin expansion meets the Street's ~220 bps expectation.</w:t>
      </w:r>
    </w:p>
    <w:p>
      <w:pPr>
        <w:pStyle w:val="Compact"/>
        <w:numPr>
          <w:ilvl w:val="0"/>
          <w:numId w:val="1002"/>
        </w:numPr>
      </w:pPr>
      <w:r>
        <w:rPr>
          <w:b/>
          <w:bCs/>
        </w:rPr>
        <w:t xml:space="preserve">Cost savings program</w:t>
      </w:r>
      <w:r>
        <w:t xml:space="preserve">: The $2 billion gross, multi-year savings plan (through FY28) is showing up mostly in G&amp;A this year (down 5.5% in Q2), with management noting the initiative pipeline has grown and they remain "on track."</w:t>
      </w:r>
    </w:p>
    <w:bookmarkEnd w:id="11"/>
    <w:bookmarkStart w:id="12" w:name="X8aa8f26b2701489082fdd4a6827bbe1a218ea60"/>
    <w:p>
      <w:pPr>
        <w:pStyle w:val="Heading2"/>
      </w:pPr>
      <w:r>
        <w:t xml:space="preserve">Guidance Framework Heading Into the Print</w:t>
      </w:r>
    </w:p>
    <w:p>
      <w:pPr>
        <w:pStyle w:val="FirstParagraph"/>
      </w:pPr>
      <w:r>
        <w:t xml:space="preserve">Current FY26 guidance (reaffirmed/raised at Q2):</w:t>
      </w:r>
    </w:p>
    <w:p>
      <w:pPr>
        <w:pStyle w:val="Compact"/>
        <w:numPr>
          <w:ilvl w:val="0"/>
          <w:numId w:val="1003"/>
        </w:numPr>
      </w:pPr>
      <w:r>
        <w:t xml:space="preserve">Global and U.S. comparable sales growth of 5%+</w:t>
      </w:r>
    </w:p>
    <w:p>
      <w:pPr>
        <w:pStyle w:val="Compact"/>
        <w:numPr>
          <w:ilvl w:val="0"/>
          <w:numId w:val="1003"/>
        </w:numPr>
      </w:pPr>
      <w:r>
        <w:t xml:space="preserve">Consolidated net revenue roughly flat year-over-year (reflecting China JV deconsolidation)</w:t>
      </w:r>
    </w:p>
    <w:p>
      <w:pPr>
        <w:pStyle w:val="Compact"/>
        <w:numPr>
          <w:ilvl w:val="0"/>
          <w:numId w:val="1003"/>
        </w:numPr>
      </w:pPr>
      <w:r>
        <w:t xml:space="preserve">Non-GAAP operating margin: slight year-over-year improvement</w:t>
      </w:r>
    </w:p>
    <w:p>
      <w:pPr>
        <w:pStyle w:val="Compact"/>
        <w:numPr>
          <w:ilvl w:val="0"/>
          <w:numId w:val="1003"/>
        </w:numPr>
      </w:pPr>
      <w:r>
        <w:t xml:space="preserve">Non-GAAP EPS:</w:t>
      </w:r>
      <w:r>
        <w:t xml:space="preserve"> </w:t>
      </w:r>
      <m:oMath>
        <m:r>
          <m:t>2.25</m:t>
        </m:r>
        <m:r>
          <m:rPr>
            <m:sty m:val="p"/>
          </m:rPr>
          <m:t>–</m:t>
        </m:r>
      </m:oMath>
      <w:r>
        <w:t xml:space="preserve">2.45</w:t>
      </w:r>
    </w:p>
    <w:p>
      <w:pPr>
        <w:pStyle w:val="Compact"/>
        <w:numPr>
          <w:ilvl w:val="0"/>
          <w:numId w:val="1003"/>
        </w:numPr>
      </w:pPr>
      <w:r>
        <w:t xml:space="preserve">~600–650 net new stores globally, with international unit growth expected to accelerate in the back half (450–500 net new international units, roughly half in China) and 150–175 net new U.S. company-operated stores</w:t>
      </w:r>
    </w:p>
    <w:p>
      <w:pPr>
        <w:pStyle w:val="FirstParagraph"/>
      </w:pPr>
      <w:r>
        <w:t xml:space="preserve">Management was candid that hitting the top end of the EPS range requires: comps leaning toward the higher end of "5%-plus," coffee prices continuing to abate, fuel/tariff costs behaving, and continued tightening of innovation-related COGS. All of those are things to interrogate on tomorrow's call.</w:t>
      </w:r>
    </w:p>
    <w:bookmarkEnd w:id="12"/>
    <w:bookmarkStart w:id="13" w:name="key-questions-for-the-call"/>
    <w:p>
      <w:pPr>
        <w:pStyle w:val="Heading2"/>
      </w:pPr>
      <w:r>
        <w:t xml:space="preserve">Key Questions for the Call</w:t>
      </w:r>
    </w:p>
    <w:p>
      <w:pPr>
        <w:pStyle w:val="Compact"/>
        <w:numPr>
          <w:ilvl w:val="0"/>
          <w:numId w:val="1004"/>
        </w:numPr>
      </w:pPr>
      <w:r>
        <w:rPr>
          <w:b/>
          <w:bCs/>
        </w:rPr>
        <w:t xml:space="preserve">Momentum durability</w:t>
      </w:r>
      <w:r>
        <w:t xml:space="preserve">: Did the &gt;7% U.S./North America comp trend continue through Q3, or did the "heightened macro uncertainty" management flagged (gas prices, tariffs, broader consumer strain) start to bite? Peer read-through from Coca-Cola's Q2 (resilient volume-led growth despite high gas prices pressuring wallets) is a modestly positive cross-check for consumer resilience into discretionary spend.</w:t>
      </w:r>
    </w:p>
    <w:p>
      <w:pPr>
        <w:pStyle w:val="Compact"/>
        <w:numPr>
          <w:ilvl w:val="0"/>
          <w:numId w:val="1004"/>
        </w:numPr>
      </w:pPr>
      <w:r>
        <w:rPr>
          <w:b/>
          <w:bCs/>
        </w:rPr>
        <w:t xml:space="preserve">Margin trajectory</w:t>
      </w:r>
      <w:r>
        <w:t xml:space="preserve">: Are coffee/tariff cost pressures actually moderating as promised, and is North America margin turning positive again after Q2's contraction?</w:t>
      </w:r>
    </w:p>
    <w:p>
      <w:pPr>
        <w:pStyle w:val="Compact"/>
        <w:numPr>
          <w:ilvl w:val="0"/>
          <w:numId w:val="1004"/>
        </w:numPr>
      </w:pPr>
      <w:r>
        <w:rPr>
          <w:b/>
          <w:bCs/>
        </w:rPr>
        <w:t xml:space="preserve">China JV details</w:t>
      </w:r>
      <w:r>
        <w:t xml:space="preserve">: First quarter of new reporting structure — how transparent will disclosure be (the company said it would publish a supplemental one-pager), and what does China same-store momentum (which had posted transaction-led growth for four straight quarters pre-deal) look like under the new structure?</w:t>
      </w:r>
    </w:p>
    <w:p>
      <w:pPr>
        <w:pStyle w:val="Compact"/>
        <w:numPr>
          <w:ilvl w:val="0"/>
          <w:numId w:val="1004"/>
        </w:numPr>
      </w:pPr>
      <w:r>
        <w:rPr>
          <w:b/>
          <w:bCs/>
        </w:rPr>
        <w:t xml:space="preserve">Long-term algorithm</w:t>
      </w:r>
      <w:r>
        <w:t xml:space="preserve">: Management declined to update its Investor-Day-era FY28 targets (implying EPS approaching $4) after the Q2 beat-and-raise, saying it was "early." Any incremental commentary on whether FY26 upside is being pulled forward or additive would matter for the multiple.</w:t>
      </w:r>
    </w:p>
    <w:p>
      <w:pPr>
        <w:pStyle w:val="Compact"/>
        <w:numPr>
          <w:ilvl w:val="0"/>
          <w:numId w:val="1004"/>
        </w:numPr>
      </w:pPr>
      <w:r>
        <w:rPr>
          <w:b/>
          <w:bCs/>
        </w:rPr>
        <w:t xml:space="preserve">Unit growth reacceleration</w:t>
      </w:r>
      <w:r>
        <w:t xml:space="preserve">: Confirmation of the ramp toward 600–650 net new units and early results from the reset U.S. and international development pipeline.</w:t>
      </w:r>
    </w:p>
    <w:p>
      <w:pPr>
        <w:pStyle w:val="Compact"/>
        <w:numPr>
          <w:ilvl w:val="0"/>
          <w:numId w:val="1004"/>
        </w:numPr>
      </w:pPr>
      <w:r>
        <w:rPr>
          <w:b/>
          <w:bCs/>
        </w:rPr>
        <w:t xml:space="preserve">Capital allocation</w:t>
      </w:r>
      <w:r>
        <w:t xml:space="preserve">: Use of the ~$3.1 billion China JV proceeds (debt reduction already flagged) and the dividend (64 consecutive quarters of payouts, 17% historical CAGR).</w:t>
      </w:r>
    </w:p>
    <w:bookmarkEnd w:id="13"/>
    <w:bookmarkStart w:id="14" w:name="risks-into-the-print"/>
    <w:p>
      <w:pPr>
        <w:pStyle w:val="Heading2"/>
      </w:pPr>
      <w:r>
        <w:t xml:space="preserve">Risks Into the Print</w:t>
      </w:r>
    </w:p>
    <w:p>
      <w:pPr>
        <w:pStyle w:val="Compact"/>
        <w:numPr>
          <w:ilvl w:val="0"/>
          <w:numId w:val="1005"/>
        </w:numPr>
      </w:pPr>
      <w:r>
        <w:rPr>
          <w:b/>
          <w:bCs/>
        </w:rPr>
        <w:t xml:space="preserve">Valuation/expectations risk</w:t>
      </w:r>
      <w:r>
        <w:t xml:space="preserve">: Shares are up roughly 25% year-to-date and sit near 52-week highs into the print; a "good" quarter that merely meets already-bullish Street numbers (comps ~5.75%, margin +220bps, EPS $0.65) may not be enough to move the stock further.</w:t>
      </w:r>
    </w:p>
    <w:p>
      <w:pPr>
        <w:pStyle w:val="Compact"/>
        <w:numPr>
          <w:ilvl w:val="0"/>
          <w:numId w:val="1005"/>
        </w:numPr>
      </w:pPr>
      <w:r>
        <w:rPr>
          <w:b/>
          <w:bCs/>
        </w:rPr>
        <w:t xml:space="preserve">Execution risk / history of false dawns</w:t>
      </w:r>
      <w:r>
        <w:t xml:space="preserve">: Analysts explicitly pressed management on this in Q2, referencing 2023 when performance looked fine until it abruptly wasn't; Niccol pointed to the Grow scorecard and coffeehouse-level visibility as the safeguard, but consistency across quarters is the real proof point.</w:t>
      </w:r>
    </w:p>
    <w:p>
      <w:pPr>
        <w:pStyle w:val="Compact"/>
        <w:numPr>
          <w:ilvl w:val="0"/>
          <w:numId w:val="1005"/>
        </w:numPr>
      </w:pPr>
      <w:r>
        <w:rPr>
          <w:b/>
          <w:bCs/>
        </w:rPr>
        <w:t xml:space="preserve">Input cost volatility</w:t>
      </w:r>
      <w:r>
        <w:t xml:space="preserve">: Coffee (arabica) prices and tariffs remain wildcards; the company's hedging/purchasing practices mean costs "lag" market moves in both directions.</w:t>
      </w:r>
    </w:p>
    <w:p>
      <w:pPr>
        <w:pStyle w:val="Compact"/>
        <w:numPr>
          <w:ilvl w:val="0"/>
          <w:numId w:val="1005"/>
        </w:numPr>
      </w:pPr>
      <w:r>
        <w:rPr>
          <w:b/>
          <w:bCs/>
        </w:rPr>
        <w:t xml:space="preserve">Consumer macro backdrop</w:t>
      </w:r>
      <w:r>
        <w:t xml:space="preserve">: Elevated gas prices, tariffs and broader inflation dynamics were cited by management as a source of uncertainty even though they hadn't yet shown up in Starbucks-specific consumer behavior through April.</w:t>
      </w:r>
    </w:p>
    <w:p>
      <w:pPr>
        <w:pStyle w:val="Compact"/>
        <w:numPr>
          <w:ilvl w:val="0"/>
          <w:numId w:val="1005"/>
        </w:numPr>
      </w:pPr>
      <w:r>
        <w:rPr>
          <w:b/>
          <w:bCs/>
        </w:rPr>
        <w:t xml:space="preserve">Reporting complexity</w:t>
      </w:r>
      <w:r>
        <w:t xml:space="preserve">: The China deconsolidation changes the optics of headline revenue growth and could create confusion or knee-jerk reactions if investors don't parse the JV accounting correctly.</w:t>
      </w:r>
    </w:p>
    <w:bookmarkEnd w:id="14"/>
    <w:bookmarkStart w:id="15" w:name="bottom-line"/>
    <w:p>
      <w:pPr>
        <w:pStyle w:val="Heading2"/>
      </w:pPr>
      <w:r>
        <w:t xml:space="preserve">Bottom Line</w:t>
      </w:r>
    </w:p>
    <w:p>
      <w:pPr>
        <w:pStyle w:val="FirstParagraph"/>
      </w:pPr>
      <w:r>
        <w:t xml:space="preserve">This is a "prove it again" quarter rather than a "prove it for the first time" quarter. Q2 already convinced the market that Back to Starbucks is working — comps, traffic, loyalty engagement and margins all inflected positively, and guidance was raised. Q3 needs to show that inflection is durable (not a one-quarter blip), that cost pressures are easing as promised, and that the newly-restructured China business is a clean, accretive piece of the story rather than a reporting headache. With the stock already pricing in high-single-digit comps and meaningful margin expansion, the risk/reward into the print looks more balanced than it did a quarter ago — execution needs to keep matching (or beating) an increasingly demanding bar.</w:t>
      </w:r>
    </w:p>
    <w:bookmarkEnd w:id="15"/>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2026-07-29T01:16:21Z</dcterms:created>
  <dcterms:modified xsi:type="dcterms:W3CDTF">2026-07-29T01:16:21Z</dcterms:modified>
</cp:coreProperties>
</file>

<file path=docProps/custom.xml><?xml version="1.0" encoding="utf-8"?>
<Properties xmlns="http://schemas.openxmlformats.org/officeDocument/2006/custom-properties" xmlns:vt="http://schemas.openxmlformats.org/officeDocument/2006/docPropsVTypes"/>
</file>