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9fbcf6d42d07b192530fa8bc80ae66c05be0e9"/>
    <w:p>
      <w:pPr>
        <w:pStyle w:val="Heading1"/>
      </w:pPr>
      <w:r>
        <w:t xml:space="preserve">Starbucks (SBUX) Fiscal Q3 2026 Earnings Preview</w:t>
      </w:r>
    </w:p>
    <w:p>
      <w:pPr>
        <w:pStyle w:val="BlockText"/>
      </w:pPr>
      <w:r>
        <w:rPr>
          <w:b/>
          <w:bCs/>
        </w:rPr>
        <w:t xml:space="preserve">Timing clarification:</w:t>
      </w:r>
      <w:r>
        <w:t xml:space="preserve"> </w:t>
      </w:r>
      <w:r>
        <w:t xml:space="preserve">Starbucks is scheduled to release results</w:t>
      </w:r>
      <w:r>
        <w:t xml:space="preserve"> </w:t>
      </w:r>
      <w:r>
        <w:rPr>
          <w:b/>
          <w:bCs/>
        </w:rPr>
        <w:t xml:space="preserve">after the market close today, Wednesday, July 29, 2026</w:t>
      </w:r>
      <w:r>
        <w:t xml:space="preserve">, followed by its conference call at</w:t>
      </w:r>
      <w:r>
        <w:t xml:space="preserve"> </w:t>
      </w:r>
      <w:r>
        <w:rPr>
          <w:b/>
          <w:bCs/>
        </w:rPr>
        <w:t xml:space="preserve">4:15 p.m. Eastern / 1:15 p.m. Pacific</w:t>
      </w:r>
      <w:r>
        <w:t xml:space="preserve">. The event is today, not tomorrow.</w:t>
      </w:r>
    </w:p>
    <w:bookmarkStart w:id="9" w:name="executive-view"/>
    <w:p>
      <w:pPr>
        <w:pStyle w:val="Heading2"/>
      </w:pPr>
      <w:r>
        <w:t xml:space="preserve">Executive view</w:t>
      </w:r>
    </w:p>
    <w:p>
      <w:pPr>
        <w:pStyle w:val="FirstParagraph"/>
      </w:pPr>
      <w:r>
        <w:t xml:space="preserve">This report is primarily a test of whether Starbucks’ turnaround has progressed from an encouraging rebound into a</w:t>
      </w:r>
      <w:r>
        <w:t xml:space="preserve"> </w:t>
      </w:r>
      <w:r>
        <w:rPr>
          <w:b/>
          <w:bCs/>
        </w:rPr>
        <w:t xml:space="preserve">durable, profitable recovery</w:t>
      </w:r>
      <w:r>
        <w:t xml:space="preserve">.</w:t>
      </w:r>
    </w:p>
    <w:p>
      <w:pPr>
        <w:pStyle w:val="BodyText"/>
      </w:pPr>
      <w:r>
        <w:t xml:space="preserve">Fiscal Q2 delivered the first year-over-year growth in both revenue and adjusted EPS in more than two years. U.S. transactions accelerated, operating execution improved, and management raised full-year guidance. Consequently, investors are no longer merely looking for stabilization: they expect another strong comparable-sales quarter and clearer evidence that traffic growth is beginning to produce meaningful margin leverage.</w:t>
      </w:r>
    </w:p>
    <w:p>
      <w:pPr>
        <w:pStyle w:val="BodyText"/>
      </w:pPr>
      <w:r>
        <w:t xml:space="preserve">The most important figures will therefore be:</w:t>
      </w:r>
    </w:p>
    <w:p>
      <w:pPr>
        <w:pStyle w:val="Compact"/>
        <w:numPr>
          <w:ilvl w:val="0"/>
          <w:numId w:val="1001"/>
        </w:numPr>
      </w:pPr>
      <w:r>
        <w:rPr>
          <w:b/>
          <w:bCs/>
        </w:rPr>
        <w:t xml:space="preserve">U.S. comparable transactions</w:t>
      </w:r>
      <w:r>
        <w:t xml:space="preserve">, not just total comparable sales.</w:t>
      </w:r>
    </w:p>
    <w:p>
      <w:pPr>
        <w:pStyle w:val="Compact"/>
        <w:numPr>
          <w:ilvl w:val="0"/>
          <w:numId w:val="1001"/>
        </w:numPr>
      </w:pPr>
      <w:r>
        <w:rPr>
          <w:b/>
          <w:bCs/>
        </w:rPr>
        <w:t xml:space="preserve">North America operating margin</w:t>
      </w:r>
      <w:r>
        <w:t xml:space="preserve">, where labor, coffee, tariffs, and product mix remain significant pressures.</w:t>
      </w:r>
    </w:p>
    <w:p>
      <w:pPr>
        <w:pStyle w:val="Compact"/>
        <w:numPr>
          <w:ilvl w:val="0"/>
          <w:numId w:val="1001"/>
        </w:numPr>
      </w:pPr>
      <w:r>
        <w:rPr>
          <w:b/>
          <w:bCs/>
        </w:rPr>
        <w:t xml:space="preserve">Fiscal 2026 guidance</w:t>
      </w:r>
      <w:r>
        <w:t xml:space="preserve">, particularly whether management raises or at least strengthens confidence in the current range.</w:t>
      </w:r>
    </w:p>
    <w:p>
      <w:pPr>
        <w:pStyle w:val="Compact"/>
        <w:numPr>
          <w:ilvl w:val="0"/>
          <w:numId w:val="1001"/>
        </w:numPr>
      </w:pPr>
      <w:r>
        <w:t xml:space="preserve">Evidence that the new Rewards program, afternoon beverages, delivery, and store “uplifts” are creating incremental visits rather than simply shifting existing demand.</w:t>
      </w:r>
    </w:p>
    <w:p>
      <w:pPr>
        <w:pStyle w:val="Compact"/>
        <w:numPr>
          <w:ilvl w:val="0"/>
          <w:numId w:val="1001"/>
        </w:numPr>
      </w:pPr>
      <w:r>
        <w:t xml:space="preserve">A clean explanation of the new China joint-venture accounting, which will materially change reported revenue and margins.</w:t>
      </w:r>
    </w:p>
    <w:bookmarkEnd w:id="9"/>
    <w:bookmarkStart w:id="10" w:name="expectations-going-into-the-report"/>
    <w:p>
      <w:pPr>
        <w:pStyle w:val="Heading2"/>
      </w:pPr>
      <w:r>
        <w:t xml:space="preserve">Expectations going into the report</w:t>
      </w:r>
    </w:p>
    <w:p>
      <w:pPr>
        <w:pStyle w:val="FirstParagraph"/>
      </w:pPr>
      <w:r>
        <w:t xml:space="preserve">Current sell-side preview data available in the research tools points to approximately: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expectation</w:t>
            </w:r>
          </w:p>
        </w:tc>
      </w:tr>
      <w:tr>
        <w:tc>
          <w:tcPr/>
          <w:p>
            <w:pPr>
              <w:pStyle w:val="Compact"/>
            </w:pPr>
            <w:r>
              <w:t xml:space="preserve">Global comparable sales</w:t>
            </w:r>
          </w:p>
        </w:tc>
        <w:tc>
          <w:tcPr/>
          <w:p>
            <w:pPr>
              <w:pStyle w:val="Compact"/>
              <w:jc w:val="right"/>
            </w:pPr>
            <w:r>
              <w:rPr>
                <w:b/>
                <w:bCs/>
              </w:rPr>
              <w:t xml:space="preserve">+5.75%</w:t>
            </w:r>
          </w:p>
        </w:tc>
      </w:tr>
      <w:tr>
        <w:tc>
          <w:tcPr/>
          <w:p>
            <w:pPr>
              <w:pStyle w:val="Compact"/>
            </w:pPr>
            <w:r>
              <w:t xml:space="preserve">North America comparable sales</w:t>
            </w:r>
          </w:p>
        </w:tc>
        <w:tc>
          <w:tcPr/>
          <w:p>
            <w:pPr>
              <w:pStyle w:val="Compact"/>
              <w:jc w:val="right"/>
            </w:pPr>
            <w:r>
              <w:rPr>
                <w:b/>
                <w:bCs/>
              </w:rPr>
              <w:t xml:space="preserve">~+6%</w:t>
            </w:r>
          </w:p>
        </w:tc>
      </w:tr>
      <w:tr>
        <w:tc>
          <w:tcPr/>
          <w:p>
            <w:pPr>
              <w:pStyle w:val="Compact"/>
            </w:pPr>
            <w:r>
              <w:t xml:space="preserve">Consolidated operating margin</w:t>
            </w:r>
          </w:p>
        </w:tc>
        <w:tc>
          <w:tcPr/>
          <w:p>
            <w:pPr>
              <w:pStyle w:val="Compact"/>
              <w:jc w:val="right"/>
            </w:pPr>
            <w:r>
              <w:rPr>
                <w:b/>
                <w:bCs/>
              </w:rPr>
              <w:t xml:space="preserve">~12.3%</w:t>
            </w:r>
          </w:p>
        </w:tc>
      </w:tr>
      <w:tr>
        <w:tc>
          <w:tcPr/>
          <w:p>
            <w:pPr>
              <w:pStyle w:val="Compact"/>
            </w:pPr>
            <w:r>
              <w:t xml:space="preserve">Adjusted EPS</w:t>
            </w:r>
          </w:p>
        </w:tc>
        <w:tc>
          <w:tcPr/>
          <w:p>
            <w:pPr>
              <w:pStyle w:val="Compact"/>
              <w:jc w:val="right"/>
            </w:pPr>
            <w:r>
              <w:rPr>
                <w:b/>
                <w:bCs/>
              </w:rPr>
              <w:t xml:space="preserve">$0.65</w:t>
            </w:r>
          </w:p>
        </w:tc>
      </w:tr>
    </w:tbl>
    <w:p>
      <w:pPr>
        <w:pStyle w:val="BodyText"/>
      </w:pPr>
      <w:r>
        <w:t xml:space="preserve">For context, fiscal Q2 produced: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Fiscal Q2 2026 result</w:t>
            </w:r>
          </w:p>
        </w:tc>
        <w:tc>
          <w:tcPr/>
          <w:p>
            <w:pPr>
              <w:pStyle w:val="Compact"/>
              <w:jc w:val="right"/>
            </w:pPr>
            <w:r>
              <w:t xml:space="preserve">Reported</w:t>
            </w:r>
          </w:p>
        </w:tc>
      </w:tr>
      <w:tr>
        <w:tc>
          <w:tcPr/>
          <w:p>
            <w:pPr>
              <w:pStyle w:val="Compact"/>
            </w:pPr>
            <w:r>
              <w:t xml:space="preserve">Global comparable sales</w:t>
            </w:r>
          </w:p>
        </w:tc>
        <w:tc>
          <w:tcPr/>
          <w:p>
            <w:pPr>
              <w:pStyle w:val="Compact"/>
              <w:jc w:val="right"/>
            </w:pPr>
            <w:r>
              <w:rPr>
                <w:b/>
                <w:bCs/>
              </w:rPr>
              <w:t xml:space="preserve">+6.2%</w:t>
            </w:r>
          </w:p>
        </w:tc>
      </w:tr>
      <w:tr>
        <w:tc>
          <w:tcPr/>
          <w:p>
            <w:pPr>
              <w:pStyle w:val="Compact"/>
            </w:pPr>
            <w:r>
              <w:t xml:space="preserve">U.S. comparable sales</w:t>
            </w:r>
          </w:p>
        </w:tc>
        <w:tc>
          <w:tcPr/>
          <w:p>
            <w:pPr>
              <w:pStyle w:val="Compact"/>
              <w:jc w:val="right"/>
            </w:pPr>
            <w:r>
              <w:rPr>
                <w:b/>
                <w:bCs/>
              </w:rPr>
              <w:t xml:space="preserve">+7.1%</w:t>
            </w:r>
          </w:p>
        </w:tc>
      </w:tr>
      <w:tr>
        <w:tc>
          <w:tcPr/>
          <w:p>
            <w:pPr>
              <w:pStyle w:val="Compact"/>
            </w:pPr>
            <w:r>
              <w:t xml:space="preserve">U.S. transactions</w:t>
            </w:r>
          </w:p>
        </w:tc>
        <w:tc>
          <w:tcPr/>
          <w:p>
            <w:pPr>
              <w:pStyle w:val="Compact"/>
              <w:jc w:val="right"/>
            </w:pPr>
            <w:r>
              <w:rPr>
                <w:b/>
                <w:bCs/>
              </w:rPr>
              <w:t xml:space="preserve">More than +4%</w:t>
            </w:r>
          </w:p>
        </w:tc>
      </w:tr>
      <w:tr>
        <w:tc>
          <w:tcPr/>
          <w:p>
            <w:pPr>
              <w:pStyle w:val="Compact"/>
            </w:pPr>
            <w:r>
              <w:t xml:space="preserve">Revenue</w:t>
            </w:r>
          </w:p>
        </w:tc>
        <w:tc>
          <w:tcPr/>
          <w:p>
            <w:pPr>
              <w:pStyle w:val="Compact"/>
              <w:jc w:val="right"/>
            </w:pPr>
            <w:r>
              <w:rPr>
                <w:b/>
                <w:bCs/>
              </w:rPr>
              <w:t xml:space="preserve">$9.5 billion, +9%</w:t>
            </w:r>
          </w:p>
        </w:tc>
      </w:tr>
      <w:tr>
        <w:tc>
          <w:tcPr/>
          <w:p>
            <w:pPr>
              <w:pStyle w:val="Compact"/>
            </w:pPr>
            <w:r>
              <w:t xml:space="preserve">Adjusted operating margin</w:t>
            </w:r>
          </w:p>
        </w:tc>
        <w:tc>
          <w:tcPr/>
          <w:p>
            <w:pPr>
              <w:pStyle w:val="Compact"/>
              <w:jc w:val="right"/>
            </w:pPr>
            <w:r>
              <w:rPr>
                <w:b/>
                <w:bCs/>
              </w:rPr>
              <w:t xml:space="preserve">9.4%, +110 bps</w:t>
            </w:r>
          </w:p>
        </w:tc>
      </w:tr>
      <w:tr>
        <w:tc>
          <w:tcPr/>
          <w:p>
            <w:pPr>
              <w:pStyle w:val="Compact"/>
            </w:pPr>
            <w:r>
              <w:t xml:space="preserve">Adjusted EPS</w:t>
            </w:r>
          </w:p>
        </w:tc>
        <w:tc>
          <w:tcPr/>
          <w:p>
            <w:pPr>
              <w:pStyle w:val="Compact"/>
              <w:jc w:val="right"/>
            </w:pPr>
            <w:r>
              <w:rPr>
                <w:b/>
                <w:bCs/>
              </w:rPr>
              <w:t xml:space="preserve">$0.50, +22%</w:t>
            </w:r>
          </w:p>
        </w:tc>
      </w:tr>
      <w:tr>
        <w:tc>
          <w:tcPr/>
          <w:p>
            <w:pPr>
              <w:pStyle w:val="Compact"/>
            </w:pPr>
            <w:r>
              <w:t xml:space="preserve">Active U.S. Rewards members</w:t>
            </w:r>
          </w:p>
        </w:tc>
        <w:tc>
          <w:tcPr/>
          <w:p>
            <w:pPr>
              <w:pStyle w:val="Compact"/>
              <w:jc w:val="right"/>
            </w:pPr>
            <w:r>
              <w:rPr>
                <w:b/>
                <w:bCs/>
              </w:rPr>
              <w:t xml:space="preserve">35.6 million, +4%</w:t>
            </w:r>
          </w:p>
        </w:tc>
      </w:tr>
    </w:tbl>
    <w:p>
      <w:pPr>
        <w:pStyle w:val="BodyText"/>
      </w:pPr>
      <w:r>
        <w:t xml:space="preserve">Management also said positive comparable-sales trends continued through April. The debate is whether that momentum persisted through the balance of the quarter.</w:t>
      </w:r>
    </w:p>
    <w:bookmarkEnd w:id="10"/>
    <w:bookmarkStart w:id="12" w:name="X0e09791f3dceadff59486c47d6aa8a902bd903e"/>
    <w:p>
      <w:pPr>
        <w:pStyle w:val="Heading2"/>
      </w:pPr>
      <w:r>
        <w:t xml:space="preserve">The central question: can Starbucks sustain traffic growth?</w:t>
      </w:r>
    </w:p>
    <w:p>
      <w:pPr>
        <w:pStyle w:val="FirstParagraph"/>
      </w:pPr>
      <w:r>
        <w:t xml:space="preserve">Starbucks’ Q2 result was notable because U.S. comparable sales were supported by more than four points of transaction growth, rather than depending primarily on price. Transactions grew across dayparts, income levels, and age groups, and mornings recovered to approximately fiscal 2022 levels.</w:t>
      </w:r>
    </w:p>
    <w:p>
      <w:pPr>
        <w:pStyle w:val="BodyText"/>
      </w:pPr>
      <w:r>
        <w:t xml:space="preserve">That creates a relatively high bar for Q3.</w:t>
      </w:r>
    </w:p>
    <w:p>
      <w:pPr>
        <w:pStyle w:val="BodyText"/>
      </w:pPr>
      <w:r>
        <w:t xml:space="preserve">A healthy result would show:</w:t>
      </w:r>
    </w:p>
    <w:p>
      <w:pPr>
        <w:pStyle w:val="Compact"/>
        <w:numPr>
          <w:ilvl w:val="0"/>
          <w:numId w:val="1002"/>
        </w:numPr>
      </w:pPr>
      <w:r>
        <w:t xml:space="preserve">U.S. transactions remaining firmly positive.</w:t>
      </w:r>
    </w:p>
    <w:p>
      <w:pPr>
        <w:pStyle w:val="Compact"/>
        <w:numPr>
          <w:ilvl w:val="0"/>
          <w:numId w:val="1002"/>
        </w:numPr>
      </w:pPr>
      <w:r>
        <w:t xml:space="preserve">Comparable sales driven by both transactions and modest ticket growth.</w:t>
      </w:r>
    </w:p>
    <w:p>
      <w:pPr>
        <w:pStyle w:val="Compact"/>
        <w:numPr>
          <w:ilvl w:val="0"/>
          <w:numId w:val="1002"/>
        </w:numPr>
      </w:pPr>
      <w:r>
        <w:t xml:space="preserve">Continued strength outside the morning peak.</w:t>
      </w:r>
    </w:p>
    <w:p>
      <w:pPr>
        <w:pStyle w:val="Compact"/>
        <w:numPr>
          <w:ilvl w:val="0"/>
          <w:numId w:val="1002"/>
        </w:numPr>
      </w:pPr>
      <w:r>
        <w:t xml:space="preserve">Growth among both Rewards members and nonmembers.</w:t>
      </w:r>
    </w:p>
    <w:p>
      <w:pPr>
        <w:pStyle w:val="Compact"/>
        <w:numPr>
          <w:ilvl w:val="0"/>
          <w:numId w:val="1002"/>
        </w:numPr>
      </w:pPr>
      <w:r>
        <w:t xml:space="preserve">No material deterioration among lower-income customers despite higher fuel and household costs.</w:t>
      </w:r>
    </w:p>
    <w:p>
      <w:pPr>
        <w:pStyle w:val="FirstParagraph"/>
      </w:pPr>
      <w:r>
        <w:t xml:space="preserve">Investors should treat a strong headline comp with weak traffic more cautiously. Ticket can benefit from delivery mix, beverage modifications, food attachment, and pricing; the more important evidence of brand recovery is whether customers are visiting more frequently.</w:t>
      </w:r>
    </w:p>
    <w:bookmarkStart w:id="11" w:name="a-reasonable-scorecard"/>
    <w:p>
      <w:pPr>
        <w:pStyle w:val="Heading3"/>
      </w:pPr>
      <w:r>
        <w:t xml:space="preserve">A reasonable scorecard</w:t>
      </w:r>
    </w:p>
    <w:p>
      <w:pPr>
        <w:pStyle w:val="Compact"/>
        <w:numPr>
          <w:ilvl w:val="0"/>
          <w:numId w:val="1003"/>
        </w:numPr>
      </w:pPr>
      <w:r>
        <w:rPr>
          <w:b/>
          <w:bCs/>
        </w:rPr>
        <w:t xml:space="preserve">Bullish:</w:t>
      </w:r>
      <w:r>
        <w:t xml:space="preserve"> </w:t>
      </w:r>
      <w:r>
        <w:t xml:space="preserve">U.S. comps of 7% or better, with transactions around 4% or higher.</w:t>
      </w:r>
    </w:p>
    <w:p>
      <w:pPr>
        <w:pStyle w:val="Compact"/>
        <w:numPr>
          <w:ilvl w:val="0"/>
          <w:numId w:val="1003"/>
        </w:numPr>
      </w:pPr>
      <w:r>
        <w:rPr>
          <w:b/>
          <w:bCs/>
        </w:rPr>
        <w:t xml:space="preserve">Acceptable:</w:t>
      </w:r>
      <w:r>
        <w:t xml:space="preserve"> </w:t>
      </w:r>
      <w:r>
        <w:t xml:space="preserve">U.S. comps around 5%–6%, with clearly positive transactions.</w:t>
      </w:r>
    </w:p>
    <w:p>
      <w:pPr>
        <w:pStyle w:val="Compact"/>
        <w:numPr>
          <w:ilvl w:val="0"/>
          <w:numId w:val="1003"/>
        </w:numPr>
      </w:pPr>
      <w:r>
        <w:rPr>
          <w:b/>
          <w:bCs/>
        </w:rPr>
        <w:t xml:space="preserve">Concerning:</w:t>
      </w:r>
      <w:r>
        <w:t xml:space="preserve"> </w:t>
      </w:r>
      <w:r>
        <w:t xml:space="preserve">A sharp sequential traffic slowdown, particularly if ticket accounts for most of the comp.</w:t>
      </w:r>
    </w:p>
    <w:bookmarkEnd w:id="11"/>
    <w:bookmarkEnd w:id="12"/>
    <w:bookmarkStart w:id="15" w:name="X484b573231fc2ad5714493b5127ca7c8c3f5ccf"/>
    <w:p>
      <w:pPr>
        <w:pStyle w:val="Heading2"/>
      </w:pPr>
      <w:r>
        <w:t xml:space="preserve">Margin conversion is the bigger financial test</w:t>
      </w:r>
    </w:p>
    <w:p>
      <w:pPr>
        <w:pStyle w:val="FirstParagraph"/>
      </w:pPr>
      <w:r>
        <w:t xml:space="preserve">Q2 demonstrated that the top line has turned, but North America profitability remained under pressure. North America operating margin contracted roughly 170 basis points to about 10%, despite a 7.1% comp.</w:t>
      </w:r>
    </w:p>
    <w:p>
      <w:pPr>
        <w:pStyle w:val="BodyText"/>
      </w:pPr>
      <w:r>
        <w:t xml:space="preserve">The major Q2 puts and takes were:</w:t>
      </w:r>
    </w:p>
    <w:p>
      <w:pPr>
        <w:pStyle w:val="Compact"/>
        <w:numPr>
          <w:ilvl w:val="0"/>
          <w:numId w:val="1004"/>
        </w:numPr>
      </w:pPr>
      <w:r>
        <w:t xml:space="preserve">Approximately</w:t>
      </w:r>
      <w:r>
        <w:t xml:space="preserve"> </w:t>
      </w:r>
      <w:r>
        <w:rPr>
          <w:b/>
          <w:bCs/>
        </w:rPr>
        <w:t xml:space="preserve">260 basis points of labor investment</w:t>
      </w:r>
      <w:r>
        <w:t xml:space="preserve"> </w:t>
      </w:r>
      <w:r>
        <w:t xml:space="preserve">tied largely to Back to Starbucks.</w:t>
      </w:r>
    </w:p>
    <w:p>
      <w:pPr>
        <w:pStyle w:val="Compact"/>
        <w:numPr>
          <w:ilvl w:val="0"/>
          <w:numId w:val="1004"/>
        </w:numPr>
      </w:pPr>
      <w:r>
        <w:t xml:space="preserve">Roughly</w:t>
      </w:r>
      <w:r>
        <w:t xml:space="preserve"> </w:t>
      </w:r>
      <w:r>
        <w:rPr>
          <w:b/>
          <w:bCs/>
        </w:rPr>
        <w:t xml:space="preserve">90 basis points of product-mix pressure</w:t>
      </w:r>
      <w:r>
        <w:t xml:space="preserve">.</w:t>
      </w:r>
    </w:p>
    <w:p>
      <w:pPr>
        <w:pStyle w:val="Compact"/>
        <w:numPr>
          <w:ilvl w:val="0"/>
          <w:numId w:val="1004"/>
        </w:numPr>
      </w:pPr>
      <w:r>
        <w:t xml:space="preserve">Roughly</w:t>
      </w:r>
      <w:r>
        <w:t xml:space="preserve"> </w:t>
      </w:r>
      <w:r>
        <w:rPr>
          <w:b/>
          <w:bCs/>
        </w:rPr>
        <w:t xml:space="preserve">90 basis points of inflation</w:t>
      </w:r>
      <w:r>
        <w:t xml:space="preserve">, primarily tariffs and elevated coffee costs.</w:t>
      </w:r>
    </w:p>
    <w:p>
      <w:pPr>
        <w:pStyle w:val="Compact"/>
        <w:numPr>
          <w:ilvl w:val="0"/>
          <w:numId w:val="1004"/>
        </w:numPr>
      </w:pPr>
      <w:r>
        <w:t xml:space="preserve">Approximately</w:t>
      </w:r>
      <w:r>
        <w:t xml:space="preserve"> </w:t>
      </w:r>
      <w:r>
        <w:rPr>
          <w:b/>
          <w:bCs/>
        </w:rPr>
        <w:t xml:space="preserve">370 basis points of sales leverage</w:t>
      </w:r>
      <w:r>
        <w:t xml:space="preserve"> </w:t>
      </w:r>
      <w:r>
        <w:t xml:space="preserve">as a partial offset.</w:t>
      </w:r>
    </w:p>
    <w:p>
      <w:pPr>
        <w:pStyle w:val="FirstParagraph"/>
      </w:pPr>
      <w:r>
        <w:t xml:space="preserve">Management has argued that earnings growth should follow the sales recovery. Q3 needs to support that claim.</w:t>
      </w:r>
    </w:p>
    <w:bookmarkStart w:id="13" w:name="what-should-improve"/>
    <w:p>
      <w:pPr>
        <w:pStyle w:val="Heading3"/>
      </w:pPr>
      <w:r>
        <w:t xml:space="preserve">What should improve</w:t>
      </w:r>
    </w:p>
    <w:p>
      <w:pPr>
        <w:pStyle w:val="FirstParagraph"/>
      </w:pPr>
      <w:r>
        <w:t xml:space="preserve">Several factors should become more favorable:</w:t>
      </w:r>
    </w:p>
    <w:p>
      <w:pPr>
        <w:pStyle w:val="Compact"/>
        <w:numPr>
          <w:ilvl w:val="0"/>
          <w:numId w:val="1005"/>
        </w:numPr>
      </w:pPr>
      <w:r>
        <w:t xml:space="preserve">Green Apron Service began rolling out in August 2025 and will start to annualize during fiscal Q4.</w:t>
      </w:r>
    </w:p>
    <w:p>
      <w:pPr>
        <w:pStyle w:val="Compact"/>
        <w:numPr>
          <w:ilvl w:val="0"/>
          <w:numId w:val="1005"/>
        </w:numPr>
      </w:pPr>
      <w:r>
        <w:t xml:space="preserve">Management expected coffee and tariff pressures to ease in the second half.</w:t>
      </w:r>
    </w:p>
    <w:p>
      <w:pPr>
        <w:pStyle w:val="Compact"/>
        <w:numPr>
          <w:ilvl w:val="0"/>
          <w:numId w:val="1005"/>
        </w:numPr>
      </w:pPr>
      <w:r>
        <w:t xml:space="preserve">Organizational simplification is reducing G&amp;A.</w:t>
      </w:r>
    </w:p>
    <w:p>
      <w:pPr>
        <w:pStyle w:val="Compact"/>
        <w:numPr>
          <w:ilvl w:val="0"/>
          <w:numId w:val="1005"/>
        </w:numPr>
      </w:pPr>
      <w:r>
        <w:t xml:space="preserve">Higher volumes should improve labor and fixed-cost leverage.</w:t>
      </w:r>
    </w:p>
    <w:p>
      <w:pPr>
        <w:pStyle w:val="Compact"/>
        <w:numPr>
          <w:ilvl w:val="0"/>
          <w:numId w:val="1005"/>
        </w:numPr>
      </w:pPr>
      <w:r>
        <w:t xml:space="preserve">China’s new licensed/JV structure should increase reported operating margin.</w:t>
      </w:r>
    </w:p>
    <w:bookmarkEnd w:id="13"/>
    <w:bookmarkStart w:id="14" w:name="what-could-disappoint"/>
    <w:p>
      <w:pPr>
        <w:pStyle w:val="Heading3"/>
      </w:pPr>
      <w:r>
        <w:t xml:space="preserve">What could disappoint</w:t>
      </w:r>
    </w:p>
    <w:p>
      <w:pPr>
        <w:pStyle w:val="Compact"/>
        <w:numPr>
          <w:ilvl w:val="0"/>
          <w:numId w:val="1006"/>
        </w:numPr>
      </w:pPr>
      <w:r>
        <w:t xml:space="preserve">Innovation and customization may continue to carry unfavorable product costs.</w:t>
      </w:r>
    </w:p>
    <w:p>
      <w:pPr>
        <w:pStyle w:val="Compact"/>
        <w:numPr>
          <w:ilvl w:val="0"/>
          <w:numId w:val="1006"/>
        </w:numPr>
      </w:pPr>
      <w:r>
        <w:t xml:space="preserve">Higher transaction volumes may require additional labor rather than immediately producing leverage.</w:t>
      </w:r>
    </w:p>
    <w:p>
      <w:pPr>
        <w:pStyle w:val="Compact"/>
        <w:numPr>
          <w:ilvl w:val="0"/>
          <w:numId w:val="1006"/>
        </w:numPr>
      </w:pPr>
      <w:r>
        <w:t xml:space="preserve">Coffee costs flow through Starbucks’ results with a lag because of purchasing and hedging.</w:t>
      </w:r>
    </w:p>
    <w:p>
      <w:pPr>
        <w:pStyle w:val="Compact"/>
        <w:numPr>
          <w:ilvl w:val="0"/>
          <w:numId w:val="1006"/>
        </w:numPr>
      </w:pPr>
      <w:r>
        <w:t xml:space="preserve">Fuel and logistics inflation could offset some expected relief.</w:t>
      </w:r>
    </w:p>
    <w:p>
      <w:pPr>
        <w:pStyle w:val="Compact"/>
        <w:numPr>
          <w:ilvl w:val="0"/>
          <w:numId w:val="1006"/>
        </w:numPr>
      </w:pPr>
      <w:r>
        <w:t xml:space="preserve">Store-level incentive programs, weekly pay, and continued customer-service investment may keep labor expenses elevated.</w:t>
      </w:r>
    </w:p>
    <w:p>
      <w:pPr>
        <w:pStyle w:val="FirstParagraph"/>
      </w:pPr>
      <w:r>
        <w:t xml:space="preserve">A good report does not necessarily require full North America margin expansion yet. It should, however, show a credible sequential path toward expansion and support management’s expectation for</w:t>
      </w:r>
      <w:r>
        <w:t xml:space="preserve"> </w:t>
      </w:r>
      <w:r>
        <w:rPr>
          <w:b/>
          <w:bCs/>
        </w:rPr>
        <w:t xml:space="preserve">slight consolidated margin growth for the full year</w:t>
      </w:r>
      <w:r>
        <w:t xml:space="preserve">.</w:t>
      </w:r>
    </w:p>
    <w:bookmarkEnd w:id="14"/>
    <w:bookmarkEnd w:id="15"/>
    <w:bookmarkStart w:id="16" w:name="X4f7cce9c08bd5e6c563ffd4c88712dd27ed9e3c"/>
    <w:p>
      <w:pPr>
        <w:pStyle w:val="Heading2"/>
      </w:pPr>
      <w:r>
        <w:t xml:space="preserve">Green Apron Service: proving the operating model scales</w:t>
      </w:r>
    </w:p>
    <w:p>
      <w:pPr>
        <w:pStyle w:val="FirstParagraph"/>
      </w:pPr>
      <w:r>
        <w:t xml:space="preserve">Starbucks has made store operations the foundation of its turnaround. Management’s service targets remain approximately:</w:t>
      </w:r>
    </w:p>
    <w:p>
      <w:pPr>
        <w:pStyle w:val="Compact"/>
        <w:numPr>
          <w:ilvl w:val="0"/>
          <w:numId w:val="1007"/>
        </w:numPr>
      </w:pPr>
      <w:r>
        <w:t xml:space="preserve">Under four minutes in cafés.</w:t>
      </w:r>
    </w:p>
    <w:p>
      <w:pPr>
        <w:pStyle w:val="Compact"/>
        <w:numPr>
          <w:ilvl w:val="0"/>
          <w:numId w:val="1007"/>
        </w:numPr>
      </w:pPr>
      <w:r>
        <w:t xml:space="preserve">Under four minutes in drive-through.</w:t>
      </w:r>
    </w:p>
    <w:p>
      <w:pPr>
        <w:pStyle w:val="Compact"/>
        <w:numPr>
          <w:ilvl w:val="0"/>
          <w:numId w:val="1007"/>
        </w:numPr>
      </w:pPr>
      <w:r>
        <w:t xml:space="preserve">Better than 12-minute promised times for mobile pickup.</w:t>
      </w:r>
    </w:p>
    <w:p>
      <w:pPr>
        <w:pStyle w:val="FirstParagraph"/>
      </w:pPr>
      <w:r>
        <w:t xml:space="preserve">At the Q2 call, management said about 80% of stores were meeting these service metrics. It also reported that the proportion of U.S. company-operated stores achieving four or more “shots” on its internal Grow scorecard had increased by more than 30 percentage points.</w:t>
      </w:r>
    </w:p>
    <w:p>
      <w:pPr>
        <w:pStyle w:val="BodyText"/>
      </w:pPr>
      <w:r>
        <w:t xml:space="preserve">Important Q3 updates would include:</w:t>
      </w:r>
    </w:p>
    <w:p>
      <w:pPr>
        <w:pStyle w:val="Compact"/>
        <w:numPr>
          <w:ilvl w:val="0"/>
          <w:numId w:val="1008"/>
        </w:numPr>
      </w:pPr>
      <w:r>
        <w:t xml:space="preserve">The percentage of stores now meeting service-time targets.</w:t>
      </w:r>
    </w:p>
    <w:p>
      <w:pPr>
        <w:pStyle w:val="Compact"/>
        <w:numPr>
          <w:ilvl w:val="0"/>
          <w:numId w:val="1008"/>
        </w:numPr>
      </w:pPr>
      <w:r>
        <w:t xml:space="preserve">Further movement in four- and five-shot stores.</w:t>
      </w:r>
    </w:p>
    <w:p>
      <w:pPr>
        <w:pStyle w:val="Compact"/>
        <w:numPr>
          <w:ilvl w:val="0"/>
          <w:numId w:val="1008"/>
        </w:numPr>
      </w:pPr>
      <w:r>
        <w:t xml:space="preserve">Whether stronger stores continue to materially outperform the system.</w:t>
      </w:r>
    </w:p>
    <w:p>
      <w:pPr>
        <w:pStyle w:val="Compact"/>
        <w:numPr>
          <w:ilvl w:val="0"/>
          <w:numId w:val="1008"/>
        </w:numPr>
      </w:pPr>
      <w:r>
        <w:t xml:space="preserve">Product availability and out-of-stock trends.</w:t>
      </w:r>
    </w:p>
    <w:p>
      <w:pPr>
        <w:pStyle w:val="Compact"/>
        <w:numPr>
          <w:ilvl w:val="0"/>
          <w:numId w:val="1008"/>
        </w:numPr>
      </w:pPr>
      <w:r>
        <w:t xml:space="preserve">Leadership stability and employee turnover.</w:t>
      </w:r>
    </w:p>
    <w:p>
      <w:pPr>
        <w:pStyle w:val="Compact"/>
        <w:numPr>
          <w:ilvl w:val="0"/>
          <w:numId w:val="1008"/>
        </w:numPr>
      </w:pPr>
      <w:r>
        <w:t xml:space="preserve">Whether labor is being deployed more efficiently as transactions rise.</w:t>
      </w:r>
    </w:p>
    <w:p>
      <w:pPr>
        <w:pStyle w:val="FirstParagraph"/>
      </w:pPr>
      <w:r>
        <w:t xml:space="preserve">The key risk is that Green Apron Service works as an expensive traffic stimulus but does not eventually generate attractive incremental margins. Management must demonstrate that the model supports more throughput with the existing labor base—not that every incremental transaction requires proportionate incremental labor.</w:t>
      </w:r>
    </w:p>
    <w:bookmarkEnd w:id="16"/>
    <w:bookmarkStart w:id="18" w:name="rewards-and-menu-innovation"/>
    <w:p>
      <w:pPr>
        <w:pStyle w:val="Heading2"/>
      </w:pPr>
      <w:r>
        <w:t xml:space="preserve">Rewards and menu innovation</w:t>
      </w:r>
    </w:p>
    <w:p>
      <w:pPr>
        <w:pStyle w:val="FirstParagraph"/>
      </w:pPr>
      <w:r>
        <w:t xml:space="preserve">The redesigned Starbucks Rewards program launched in March, making Q3 the first full quarter in which investors can assess its effect.</w:t>
      </w:r>
    </w:p>
    <w:p>
      <w:pPr>
        <w:pStyle w:val="BodyText"/>
      </w:pPr>
      <w:r>
        <w:t xml:space="preserve">Early Q2 indicators were encouraging:</w:t>
      </w:r>
    </w:p>
    <w:p>
      <w:pPr>
        <w:pStyle w:val="Compact"/>
        <w:numPr>
          <w:ilvl w:val="0"/>
          <w:numId w:val="1009"/>
        </w:numPr>
      </w:pPr>
      <w:r>
        <w:t xml:space="preserve">Active membership reached a record</w:t>
      </w:r>
      <w:r>
        <w:t xml:space="preserve"> </w:t>
      </w:r>
      <w:r>
        <w:rPr>
          <w:b/>
          <w:bCs/>
        </w:rPr>
        <w:t xml:space="preserve">35.6 million</w:t>
      </w:r>
      <w:r>
        <w:t xml:space="preserve">.</w:t>
      </w:r>
    </w:p>
    <w:p>
      <w:pPr>
        <w:pStyle w:val="Compact"/>
        <w:numPr>
          <w:ilvl w:val="0"/>
          <w:numId w:val="1009"/>
        </w:numPr>
      </w:pPr>
      <w:r>
        <w:t xml:space="preserve">Membership increased sequentially during a period that typically experiences seasonal declines.</w:t>
      </w:r>
    </w:p>
    <w:p>
      <w:pPr>
        <w:pStyle w:val="Compact"/>
        <w:numPr>
          <w:ilvl w:val="0"/>
          <w:numId w:val="1009"/>
        </w:numPr>
      </w:pPr>
      <w:r>
        <w:t xml:space="preserve">The new 60-star redemption became the most frequently used reward.</w:t>
      </w:r>
    </w:p>
    <w:p>
      <w:pPr>
        <w:pStyle w:val="Compact"/>
        <w:numPr>
          <w:ilvl w:val="0"/>
          <w:numId w:val="1009"/>
        </w:numPr>
      </w:pPr>
      <w:r>
        <w:t xml:space="preserve">Card-load volume and load rates exceeded management’s expectations.</w:t>
      </w:r>
    </w:p>
    <w:p>
      <w:pPr>
        <w:pStyle w:val="Compact"/>
        <w:numPr>
          <w:ilvl w:val="0"/>
          <w:numId w:val="1009"/>
        </w:numPr>
      </w:pPr>
      <w:r>
        <w:t xml:space="preserve">Management saw early evidence of more customers visiting at least four times per week.</w:t>
      </w:r>
    </w:p>
    <w:p>
      <w:pPr>
        <w:pStyle w:val="FirstParagraph"/>
      </w:pPr>
      <w:r>
        <w:t xml:space="preserve">Investors should look for:</w:t>
      </w:r>
    </w:p>
    <w:p>
      <w:pPr>
        <w:pStyle w:val="Compact"/>
        <w:numPr>
          <w:ilvl w:val="0"/>
          <w:numId w:val="1010"/>
        </w:numPr>
      </w:pPr>
      <w:r>
        <w:t xml:space="preserve">Active-member growth above the Q2 level.</w:t>
      </w:r>
    </w:p>
    <w:p>
      <w:pPr>
        <w:pStyle w:val="Compact"/>
        <w:numPr>
          <w:ilvl w:val="0"/>
          <w:numId w:val="1010"/>
        </w:numPr>
      </w:pPr>
      <w:r>
        <w:t xml:space="preserve">Increased frequency without excessive promotional expense.</w:t>
      </w:r>
    </w:p>
    <w:p>
      <w:pPr>
        <w:pStyle w:val="Compact"/>
        <w:numPr>
          <w:ilvl w:val="0"/>
          <w:numId w:val="1010"/>
        </w:numPr>
      </w:pPr>
      <w:r>
        <w:t xml:space="preserve">Higher card loads and engagement across Green, Gold, and Reserve tiers.</w:t>
      </w:r>
    </w:p>
    <w:p>
      <w:pPr>
        <w:pStyle w:val="Compact"/>
        <w:numPr>
          <w:ilvl w:val="0"/>
          <w:numId w:val="1010"/>
        </w:numPr>
      </w:pPr>
      <w:r>
        <w:t xml:space="preserve">Growth in both member and nonmember transactions.</w:t>
      </w:r>
    </w:p>
    <w:p>
      <w:pPr>
        <w:pStyle w:val="Compact"/>
        <w:numPr>
          <w:ilvl w:val="0"/>
          <w:numId w:val="1010"/>
        </w:numPr>
      </w:pPr>
      <w:r>
        <w:t xml:space="preserve">Evidence that rewards contribute incremental sales rather than subsidizing visits that would have occurred anyway.</w:t>
      </w:r>
    </w:p>
    <w:p>
      <w:pPr>
        <w:pStyle w:val="FirstParagraph"/>
      </w:pPr>
      <w:r>
        <w:t xml:space="preserve">Management previously suggested that the redesigned program could eventually contribute as much as one percentage point to U.S. company-operated comps. Any quantification of its Q3 contribution would be useful.</w:t>
      </w:r>
    </w:p>
    <w:bookmarkStart w:id="17" w:name="afternoon-growth"/>
    <w:p>
      <w:pPr>
        <w:pStyle w:val="Heading3"/>
      </w:pPr>
      <w:r>
        <w:t xml:space="preserve">Afternoon growth</w:t>
      </w:r>
    </w:p>
    <w:p>
      <w:pPr>
        <w:pStyle w:val="FirstParagraph"/>
      </w:pPr>
      <w:r>
        <w:t xml:space="preserve">Starbucks is also attempting to create a second demand peak after 11 a.m. Its principal vehicles include:</w:t>
      </w:r>
    </w:p>
    <w:p>
      <w:pPr>
        <w:pStyle w:val="Compact"/>
        <w:numPr>
          <w:ilvl w:val="0"/>
          <w:numId w:val="1011"/>
        </w:numPr>
      </w:pPr>
      <w:r>
        <w:t xml:space="preserve">Customizable-energy Refreshers.</w:t>
      </w:r>
    </w:p>
    <w:p>
      <w:pPr>
        <w:pStyle w:val="Compact"/>
        <w:numPr>
          <w:ilvl w:val="0"/>
          <w:numId w:val="1011"/>
        </w:numPr>
      </w:pPr>
      <w:r>
        <w:t xml:space="preserve">Matcha and chai.</w:t>
      </w:r>
    </w:p>
    <w:p>
      <w:pPr>
        <w:pStyle w:val="Compact"/>
        <w:numPr>
          <w:ilvl w:val="0"/>
          <w:numId w:val="1011"/>
        </w:numPr>
      </w:pPr>
      <w:r>
        <w:t xml:space="preserve">Cold foam and protein modifications.</w:t>
      </w:r>
    </w:p>
    <w:p>
      <w:pPr>
        <w:pStyle w:val="Compact"/>
        <w:numPr>
          <w:ilvl w:val="0"/>
          <w:numId w:val="1011"/>
        </w:numPr>
      </w:pPr>
      <w:r>
        <w:t xml:space="preserve">Bakery and snack innovation.</w:t>
      </w:r>
    </w:p>
    <w:p>
      <w:pPr>
        <w:pStyle w:val="Compact"/>
        <w:numPr>
          <w:ilvl w:val="0"/>
          <w:numId w:val="1011"/>
        </w:numPr>
      </w:pPr>
      <w:r>
        <w:t xml:space="preserve">Delivery.</w:t>
      </w:r>
    </w:p>
    <w:p>
      <w:pPr>
        <w:pStyle w:val="Compact"/>
        <w:numPr>
          <w:ilvl w:val="0"/>
          <w:numId w:val="1011"/>
        </w:numPr>
      </w:pPr>
      <w:r>
        <w:t xml:space="preserve">Scheduled mobile ordering.</w:t>
      </w:r>
    </w:p>
    <w:p>
      <w:pPr>
        <w:pStyle w:val="FirstParagraph"/>
      </w:pPr>
      <w:r>
        <w:t xml:space="preserve">Refreshers were already a roughly $2 billion platform, and management said the new energy products launched in April exceeded expectations. Investors should listen for whether the summer beverage lineup sustained that initial momentum and whether the products are generating incremental afternoon transactions.</w:t>
      </w:r>
    </w:p>
    <w:bookmarkEnd w:id="17"/>
    <w:bookmarkEnd w:id="18"/>
    <w:bookmarkStart w:id="19" w:name="X114faad8ffc818a2ab2a303bf209dc26ffff27b"/>
    <w:p>
      <w:pPr>
        <w:pStyle w:val="Heading2"/>
      </w:pPr>
      <w:r>
        <w:t xml:space="preserve">China will make the quarter harder to read</w:t>
      </w:r>
    </w:p>
    <w:p>
      <w:pPr>
        <w:pStyle w:val="FirstParagraph"/>
      </w:pPr>
      <w:r>
        <w:t xml:space="preserve">Starbucks closed the sale of 60% of its China retail operations to Boyu Capital on</w:t>
      </w:r>
      <w:r>
        <w:t xml:space="preserve"> </w:t>
      </w:r>
      <w:r>
        <w:rPr>
          <w:b/>
          <w:bCs/>
        </w:rPr>
        <w:t xml:space="preserve">March 30, 2026</w:t>
      </w:r>
      <w:r>
        <w:t xml:space="preserve">, immediately after fiscal Q2. Starbucks retained 40%, continues to own and license the brand, and received approximately $3.1 billion in gross proceeds.</w:t>
      </w:r>
    </w:p>
    <w:p>
      <w:pPr>
        <w:pStyle w:val="BodyText"/>
      </w:pPr>
      <w:r>
        <w:t xml:space="preserve">Fiscal Q3 will therefore be the first quarter under the new structure:</w:t>
      </w:r>
    </w:p>
    <w:p>
      <w:pPr>
        <w:pStyle w:val="Compact"/>
        <w:numPr>
          <w:ilvl w:val="0"/>
          <w:numId w:val="1012"/>
        </w:numPr>
      </w:pPr>
      <w:r>
        <w:t xml:space="preserve">China retail operations are no longer consolidated.</w:t>
      </w:r>
    </w:p>
    <w:p>
      <w:pPr>
        <w:pStyle w:val="Compact"/>
        <w:numPr>
          <w:ilvl w:val="0"/>
          <w:numId w:val="1012"/>
        </w:numPr>
      </w:pPr>
      <w:r>
        <w:t xml:space="preserve">Starbucks will record product sales, royalties, and its equity-method share of JV earnings.</w:t>
      </w:r>
    </w:p>
    <w:p>
      <w:pPr>
        <w:pStyle w:val="Compact"/>
        <w:numPr>
          <w:ilvl w:val="0"/>
          <w:numId w:val="1012"/>
        </w:numPr>
      </w:pPr>
      <w:r>
        <w:t xml:space="preserve">Reported revenue will fall substantially relative to the former company-operated model.</w:t>
      </w:r>
    </w:p>
    <w:p>
      <w:pPr>
        <w:pStyle w:val="Compact"/>
        <w:numPr>
          <w:ilvl w:val="0"/>
          <w:numId w:val="1012"/>
        </w:numPr>
      </w:pPr>
      <w:r>
        <w:t xml:space="preserve">Reported operating margin should increase.</w:t>
      </w:r>
    </w:p>
    <w:p>
      <w:pPr>
        <w:pStyle w:val="Compact"/>
        <w:numPr>
          <w:ilvl w:val="0"/>
          <w:numId w:val="1012"/>
        </w:numPr>
      </w:pPr>
      <w:r>
        <w:t xml:space="preserve">Starbucks will no longer provide stand-alone quarterly China revenue and comparable sales.</w:t>
      </w:r>
    </w:p>
    <w:p>
      <w:pPr>
        <w:pStyle w:val="Compact"/>
        <w:numPr>
          <w:ilvl w:val="0"/>
          <w:numId w:val="1012"/>
        </w:numPr>
      </w:pPr>
      <w:r>
        <w:t xml:space="preserve">GAAP results may include a material gain on the transaction and other accounting items.</w:t>
      </w:r>
    </w:p>
    <w:p>
      <w:pPr>
        <w:pStyle w:val="FirstParagraph"/>
      </w:pPr>
      <w:r>
        <w:t xml:space="preserve">Management previously estimated that second-half China-related revenue would be less than 20% of what Starbucks would have reported under the old structure, while roughly half of the new China-related revenue should flow to operating income.</w:t>
      </w:r>
    </w:p>
    <w:p>
      <w:pPr>
        <w:pStyle w:val="BodyText"/>
      </w:pPr>
      <w:r>
        <w:t xml:space="preserve">Investors should avoid reading the headline revenue growth rate in isolation. The more useful questions are:</w:t>
      </w:r>
    </w:p>
    <w:p>
      <w:pPr>
        <w:pStyle w:val="Compact"/>
        <w:numPr>
          <w:ilvl w:val="0"/>
          <w:numId w:val="1013"/>
        </w:numPr>
      </w:pPr>
      <w:r>
        <w:t xml:space="preserve">How much revenue and operating income did the new structure contribute?</w:t>
      </w:r>
    </w:p>
    <w:p>
      <w:pPr>
        <w:pStyle w:val="Compact"/>
        <w:numPr>
          <w:ilvl w:val="0"/>
          <w:numId w:val="1013"/>
        </w:numPr>
      </w:pPr>
      <w:r>
        <w:t xml:space="preserve">Is the transition still approximately neutral to fiscal 2026 adjusted EPS?</w:t>
      </w:r>
    </w:p>
    <w:p>
      <w:pPr>
        <w:pStyle w:val="Compact"/>
        <w:numPr>
          <w:ilvl w:val="0"/>
          <w:numId w:val="1013"/>
        </w:numPr>
      </w:pPr>
      <w:r>
        <w:t xml:space="preserve">How quickly is the JV returning to net unit growth?</w:t>
      </w:r>
    </w:p>
    <w:p>
      <w:pPr>
        <w:pStyle w:val="Compact"/>
        <w:numPr>
          <w:ilvl w:val="0"/>
          <w:numId w:val="1013"/>
        </w:numPr>
      </w:pPr>
      <w:r>
        <w:t xml:space="preserve">Are royalties, product sales, and equity income tracking management’s initial framework?</w:t>
      </w:r>
    </w:p>
    <w:p>
      <w:pPr>
        <w:pStyle w:val="Compact"/>
        <w:numPr>
          <w:ilvl w:val="0"/>
          <w:numId w:val="1013"/>
        </w:numPr>
      </w:pPr>
      <w:r>
        <w:t xml:space="preserve">How much of any margin expansion is structural rather than operational?</w:t>
      </w:r>
    </w:p>
    <w:p>
      <w:pPr>
        <w:pStyle w:val="FirstParagraph"/>
      </w:pPr>
      <w:r>
        <w:t xml:space="preserve">The company’s current fiscal 2026 guidance calls for approximately flat consolidated revenue largely because of this deconsolidation, despite strong underlying comparable sales.</w:t>
      </w:r>
    </w:p>
    <w:bookmarkEnd w:id="19"/>
    <w:bookmarkStart w:id="20" w:name="X6c982252b9dc6dda53d8312e1ff35ae030390d8"/>
    <w:p>
      <w:pPr>
        <w:pStyle w:val="Heading2"/>
      </w:pPr>
      <w:r>
        <w:t xml:space="preserve">Full-year guidance: another raise is possible, but not required</w:t>
      </w:r>
    </w:p>
    <w:p>
      <w:pPr>
        <w:pStyle w:val="FirstParagraph"/>
      </w:pPr>
      <w:r>
        <w:t xml:space="preserve">After Q2, Starbucks raised fiscal 2026 guidance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Fiscal 2026 metric</w:t>
            </w:r>
          </w:p>
        </w:tc>
        <w:tc>
          <w:tcPr/>
          <w:p>
            <w:pPr>
              <w:pStyle w:val="Compact"/>
              <w:jc w:val="right"/>
            </w:pPr>
            <w:r>
              <w:t xml:space="preserve">Current guidance</w:t>
            </w:r>
          </w:p>
        </w:tc>
      </w:tr>
      <w:tr>
        <w:tc>
          <w:tcPr/>
          <w:p>
            <w:pPr>
              <w:pStyle w:val="Compact"/>
            </w:pPr>
            <w:r>
              <w:t xml:space="preserve">Global comparable sales</w:t>
            </w:r>
          </w:p>
        </w:tc>
        <w:tc>
          <w:tcPr/>
          <w:p>
            <w:pPr>
              <w:pStyle w:val="Compact"/>
              <w:jc w:val="right"/>
            </w:pPr>
            <w:r>
              <w:rPr>
                <w:b/>
                <w:bCs/>
              </w:rPr>
              <w:t xml:space="preserve">5% or better</w:t>
            </w:r>
          </w:p>
        </w:tc>
      </w:tr>
      <w:tr>
        <w:tc>
          <w:tcPr/>
          <w:p>
            <w:pPr>
              <w:pStyle w:val="Compact"/>
            </w:pPr>
            <w:r>
              <w:t xml:space="preserve">U.S. comparable sales</w:t>
            </w:r>
          </w:p>
        </w:tc>
        <w:tc>
          <w:tcPr/>
          <w:p>
            <w:pPr>
              <w:pStyle w:val="Compact"/>
              <w:jc w:val="right"/>
            </w:pPr>
            <w:r>
              <w:rPr>
                <w:b/>
                <w:bCs/>
              </w:rPr>
              <w:t xml:space="preserve">5% or better</w:t>
            </w:r>
          </w:p>
        </w:tc>
      </w:tr>
      <w:tr>
        <w:tc>
          <w:tcPr/>
          <w:p>
            <w:pPr>
              <w:pStyle w:val="Compact"/>
            </w:pPr>
            <w:r>
              <w:t xml:space="preserve">Consolidated revenue</w:t>
            </w:r>
          </w:p>
        </w:tc>
        <w:tc>
          <w:tcPr/>
          <w:p>
            <w:pPr>
              <w:pStyle w:val="Compact"/>
              <w:jc w:val="right"/>
            </w:pPr>
            <w:r>
              <w:rPr>
                <w:b/>
                <w:bCs/>
              </w:rPr>
              <w:t xml:space="preserve">Approximately flat YoY</w:t>
            </w:r>
          </w:p>
        </w:tc>
      </w:tr>
      <w:tr>
        <w:tc>
          <w:tcPr/>
          <w:p>
            <w:pPr>
              <w:pStyle w:val="Compact"/>
            </w:pPr>
            <w:r>
              <w:t xml:space="preserve">Consolidated operating margin</w:t>
            </w:r>
          </w:p>
        </w:tc>
        <w:tc>
          <w:tcPr/>
          <w:p>
            <w:pPr>
              <w:pStyle w:val="Compact"/>
              <w:jc w:val="right"/>
            </w:pPr>
            <w:r>
              <w:rPr>
                <w:b/>
                <w:bCs/>
              </w:rPr>
              <w:t xml:space="preserve">Slight YoY growth</w:t>
            </w:r>
          </w:p>
        </w:tc>
      </w:tr>
      <w:tr>
        <w:tc>
          <w:tcPr/>
          <w:p>
            <w:pPr>
              <w:pStyle w:val="Compact"/>
            </w:pPr>
            <w:r>
              <w:t xml:space="preserve">Adjusted EPS</w:t>
            </w:r>
          </w:p>
        </w:tc>
        <w:tc>
          <w:tcPr/>
          <w:p>
            <w:pPr>
              <w:pStyle w:val="Compact"/>
              <w:jc w:val="right"/>
            </w:pPr>
            <m:oMath>
              <m:r>
                <m:t>2.25</m:t>
              </m:r>
              <m:r>
                <m:rPr>
                  <m:sty m:val="p"/>
                </m:rPr>
                <m:t>–</m:t>
              </m:r>
            </m:oMath>
            <w:r>
              <w:rPr>
                <w:b/>
                <w:bCs/>
              </w:rPr>
              <w:t xml:space="preserve">2.45</w:t>
            </w:r>
          </w:p>
        </w:tc>
      </w:tr>
      <w:tr>
        <w:tc>
          <w:tcPr/>
          <w:p>
            <w:pPr>
              <w:pStyle w:val="Compact"/>
            </w:pPr>
            <w:r>
              <w:t xml:space="preserve">Net new coffeehouses</w:t>
            </w:r>
          </w:p>
        </w:tc>
        <w:tc>
          <w:tcPr/>
          <w:p>
            <w:pPr>
              <w:pStyle w:val="Compact"/>
              <w:jc w:val="right"/>
            </w:pPr>
            <w:r>
              <w:rPr>
                <w:b/>
                <w:bCs/>
              </w:rPr>
              <w:t xml:space="preserve">600–650</w:t>
            </w:r>
          </w:p>
        </w:tc>
      </w:tr>
    </w:tbl>
    <w:p>
      <w:pPr>
        <w:pStyle w:val="BodyText"/>
      </w:pPr>
      <w:r>
        <w:t xml:space="preserve">Starbucks earned adjusted EPS of $0.56 in Q1 and</w:t>
      </w:r>
      <w:r>
        <w:t xml:space="preserve"> </w:t>
      </w:r>
      <m:oMath>
        <m:r>
          <m:t>0.50</m:t>
        </m:r>
        <m:r>
          <m:t>i</m:t>
        </m:r>
        <m:r>
          <m:t>n</m:t>
        </m:r>
        <m:r>
          <m:t>Q</m:t>
        </m:r>
        <m:r>
          <m:t>2</m:t>
        </m:r>
        <m:r>
          <m:rPr>
            <m:sty m:val="p"/>
          </m:rPr>
          <m:t>.</m:t>
        </m:r>
        <m:r>
          <m:t>I</m:t>
        </m:r>
        <m:r>
          <m:t>t</m:t>
        </m:r>
        <m:r>
          <m:t>t</m:t>
        </m:r>
        <m:r>
          <m:t>h</m:t>
        </m:r>
        <m:r>
          <m:t>e</m:t>
        </m:r>
        <m:r>
          <m:t>r</m:t>
        </m:r>
        <m:r>
          <m:t>e</m:t>
        </m:r>
        <m:r>
          <m:t>f</m:t>
        </m:r>
        <m:r>
          <m:t>o</m:t>
        </m:r>
        <m:r>
          <m:t>r</m:t>
        </m:r>
        <m:r>
          <m:t>e</m:t>
        </m:r>
        <m:r>
          <m:t>n</m:t>
        </m:r>
        <m:r>
          <m:t>e</m:t>
        </m:r>
        <m:r>
          <m:t>e</m:t>
        </m:r>
        <m:r>
          <m:t>d</m:t>
        </m:r>
        <m:r>
          <m:t>s</m:t>
        </m:r>
        <m:r>
          <m:t>a</m:t>
        </m:r>
        <m:r>
          <m:t>p</m:t>
        </m:r>
        <m:r>
          <m:t>p</m:t>
        </m:r>
        <m:r>
          <m:t>r</m:t>
        </m:r>
        <m:r>
          <m:t>o</m:t>
        </m:r>
        <m:r>
          <m:t>x</m:t>
        </m:r>
        <m:r>
          <m:t>i</m:t>
        </m:r>
        <m:r>
          <m:t>m</m:t>
        </m:r>
        <m:r>
          <m:t>a</m:t>
        </m:r>
        <m:r>
          <m:t>t</m:t>
        </m:r>
        <m:r>
          <m:t>e</m:t>
        </m:r>
        <m:r>
          <m:t>l</m:t>
        </m:r>
        <m:r>
          <m:t>y</m:t>
        </m:r>
        <m:r>
          <m:rPr>
            <m:sty m:val="p"/>
          </m:rPr>
          <m:t>*</m:t>
        </m:r>
        <m:r>
          <m:rPr>
            <m:sty m:val="p"/>
          </m:rPr>
          <m:t>*</m:t>
        </m:r>
      </m:oMath>
      <w:r>
        <w:t xml:space="preserve">1.19–$1.39 across Q3 and Q4** to achieve the annual range. A Q3 result near the $0.65 consensus would leave roughly</w:t>
      </w:r>
      <w:r>
        <w:t xml:space="preserve"> </w:t>
      </w:r>
      <m:oMath>
        <m:r>
          <m:t>0.54</m:t>
        </m:r>
        <m:r>
          <m:rPr>
            <m:sty m:val="p"/>
          </m:rPr>
          <m:t>–</m:t>
        </m:r>
      </m:oMath>
      <w:r>
        <w:t xml:space="preserve">0.74 for Q4.</w:t>
      </w:r>
    </w:p>
    <w:p>
      <w:pPr>
        <w:pStyle w:val="BodyText"/>
      </w:pPr>
      <w:r>
        <w:t xml:space="preserve">That makes the annual range achievable, but the upper end likely requires:</w:t>
      </w:r>
    </w:p>
    <w:p>
      <w:pPr>
        <w:pStyle w:val="Compact"/>
        <w:numPr>
          <w:ilvl w:val="0"/>
          <w:numId w:val="1014"/>
        </w:numPr>
      </w:pPr>
      <w:r>
        <w:t xml:space="preserve">Comps leaning above 5%.</w:t>
      </w:r>
    </w:p>
    <w:p>
      <w:pPr>
        <w:pStyle w:val="Compact"/>
        <w:numPr>
          <w:ilvl w:val="0"/>
          <w:numId w:val="1014"/>
        </w:numPr>
      </w:pPr>
      <w:r>
        <w:t xml:space="preserve">Continued transaction strength.</w:t>
      </w:r>
    </w:p>
    <w:p>
      <w:pPr>
        <w:pStyle w:val="Compact"/>
        <w:numPr>
          <w:ilvl w:val="0"/>
          <w:numId w:val="1014"/>
        </w:numPr>
      </w:pPr>
      <w:r>
        <w:t xml:space="preserve">Better North America operating leverage.</w:t>
      </w:r>
    </w:p>
    <w:p>
      <w:pPr>
        <w:pStyle w:val="Compact"/>
        <w:numPr>
          <w:ilvl w:val="0"/>
          <w:numId w:val="1014"/>
        </w:numPr>
      </w:pPr>
      <w:r>
        <w:t xml:space="preserve">Lower coffee and tariff pressure.</w:t>
      </w:r>
    </w:p>
    <w:p>
      <w:pPr>
        <w:pStyle w:val="Compact"/>
        <w:numPr>
          <w:ilvl w:val="0"/>
          <w:numId w:val="1014"/>
        </w:numPr>
      </w:pPr>
      <w:r>
        <w:t xml:space="preserve">G&amp;A savings.</w:t>
      </w:r>
    </w:p>
    <w:p>
      <w:pPr>
        <w:pStyle w:val="Compact"/>
        <w:numPr>
          <w:ilvl w:val="0"/>
          <w:numId w:val="1014"/>
        </w:numPr>
      </w:pPr>
      <w:r>
        <w:t xml:space="preserve">A clean transition to China JV accounting.</w:t>
      </w:r>
    </w:p>
    <w:p>
      <w:pPr>
        <w:pStyle w:val="FirstParagraph"/>
      </w:pPr>
      <w:r>
        <w:t xml:space="preserve">Management has already described those as the conditions needed to reach the high end. A modest guidance increase would be positive, but maintaining the current range with stronger language around the upper half could be enough if Q3 fundamentals are sound.</w:t>
      </w:r>
    </w:p>
    <w:p>
      <w:pPr>
        <w:pStyle w:val="BodyText"/>
      </w:pPr>
      <w:r>
        <w:t xml:space="preserve">Conversely, a reduction would materially challenge the turnaround narrative.</w:t>
      </w:r>
    </w:p>
    <w:bookmarkEnd w:id="20"/>
    <w:bookmarkStart w:id="21" w:name="longer-term-implications"/>
    <w:p>
      <w:pPr>
        <w:pStyle w:val="Heading2"/>
      </w:pPr>
      <w:r>
        <w:t xml:space="preserve">Longer-term implications</w:t>
      </w:r>
    </w:p>
    <w:p>
      <w:pPr>
        <w:pStyle w:val="FirstParagraph"/>
      </w:pPr>
      <w:r>
        <w:t xml:space="preserve">Starbucks’ fiscal 2028 framework targets:</w:t>
      </w:r>
    </w:p>
    <w:p>
      <w:pPr>
        <w:pStyle w:val="Compact"/>
        <w:numPr>
          <w:ilvl w:val="0"/>
          <w:numId w:val="1015"/>
        </w:numPr>
      </w:pPr>
      <w:r>
        <w:t xml:space="preserve">At least 3% global and U.S. comparable-sales growth.</w:t>
      </w:r>
    </w:p>
    <w:p>
      <w:pPr>
        <w:pStyle w:val="Compact"/>
        <w:numPr>
          <w:ilvl w:val="0"/>
          <w:numId w:val="1015"/>
        </w:numPr>
      </w:pPr>
      <w:r>
        <w:t xml:space="preserve">At least 5% consolidated revenue growth.</w:t>
      </w:r>
    </w:p>
    <w:p>
      <w:pPr>
        <w:pStyle w:val="Compact"/>
        <w:numPr>
          <w:ilvl w:val="0"/>
          <w:numId w:val="1015"/>
        </w:numPr>
      </w:pPr>
      <w:r>
        <w:t xml:space="preserve">Operating margin of</w:t>
      </w:r>
      <w:r>
        <w:t xml:space="preserve"> </w:t>
      </w:r>
      <w:r>
        <w:rPr>
          <w:b/>
          <w:bCs/>
        </w:rPr>
        <w:t xml:space="preserve">13.5%–15%</w:t>
      </w:r>
      <w:r>
        <w:t xml:space="preserve">.</w:t>
      </w:r>
    </w:p>
    <w:p>
      <w:pPr>
        <w:pStyle w:val="Compact"/>
        <w:numPr>
          <w:ilvl w:val="0"/>
          <w:numId w:val="1015"/>
        </w:numPr>
      </w:pPr>
      <w:r>
        <w:t xml:space="preserve">EPS of</w:t>
      </w:r>
      <w:r>
        <w:t xml:space="preserve"> </w:t>
      </w:r>
      <m:oMath>
        <m:r>
          <m:t>3.35</m:t>
        </m:r>
        <m:r>
          <m:rPr>
            <m:sty m:val="p"/>
          </m:rPr>
          <m:t>–</m:t>
        </m:r>
      </m:oMath>
      <w:r>
        <w:rPr>
          <w:b/>
          <w:bCs/>
        </w:rPr>
        <w:t xml:space="preserve">4.00</w:t>
      </w:r>
      <w:r>
        <w:t xml:space="preserve">.</w:t>
      </w:r>
    </w:p>
    <w:p>
      <w:pPr>
        <w:pStyle w:val="Compact"/>
        <w:numPr>
          <w:ilvl w:val="0"/>
          <w:numId w:val="1015"/>
        </w:numPr>
      </w:pPr>
      <w:r>
        <w:t xml:space="preserve">More than 2,000 annual net new stores by fiscal 2028.</w:t>
      </w:r>
    </w:p>
    <w:p>
      <w:pPr>
        <w:pStyle w:val="Compact"/>
        <w:numPr>
          <w:ilvl w:val="0"/>
          <w:numId w:val="1015"/>
        </w:numPr>
      </w:pPr>
      <w:r>
        <w:t xml:space="preserve">Approximately $2 billion of gross cost savings through fiscal 2028.</w:t>
      </w:r>
    </w:p>
    <w:p>
      <w:pPr>
        <w:pStyle w:val="FirstParagraph"/>
      </w:pPr>
      <w:r>
        <w:t xml:space="preserve">Q3 will not prove that framework, but it can show whether the underlying bridge is credible. The best evidence would be transaction-led growth coupled with early North America margin recovery. Strong comps without margin conversion would leave the 2028 targets dependent on increasingly aggressive future cost savings.</w:t>
      </w:r>
    </w:p>
    <w:bookmarkEnd w:id="21"/>
    <w:bookmarkStart w:id="22" w:name="market-setup"/>
    <w:p>
      <w:pPr>
        <w:pStyle w:val="Heading2"/>
      </w:pPr>
      <w:r>
        <w:t xml:space="preserve">Market setup</w:t>
      </w:r>
    </w:p>
    <w:p>
      <w:pPr>
        <w:pStyle w:val="FirstParagraph"/>
      </w:pPr>
      <w:r>
        <w:t xml:space="preserve">SBUX closed at approximately</w:t>
      </w:r>
      <w:r>
        <w:t xml:space="preserve"> </w:t>
      </w:r>
      <w:r>
        <w:rPr>
          <w:b/>
          <w:bCs/>
        </w:rPr>
        <w:t xml:space="preserve">$103.13 on July 28</w:t>
      </w:r>
      <w:r>
        <w:t xml:space="preserve">, about 6% above its April 28 pre-Q2 close but modestly below the immediate post-Q2 closing level.</w:t>
      </w:r>
    </w:p>
    <w:p>
      <w:pPr>
        <w:pStyle w:val="BodyText"/>
      </w:pPr>
      <w:r>
        <w:t xml:space="preserve">That suggests expectations are meaningfully better than they were before Q2, although the stock has not simply continued rising since the initial earnings reaction. With investors increasingly confident that the turnaround has taken hold, a routine comp beat may not be enough by itself. The market is likely to reward a combination of:</w:t>
      </w:r>
    </w:p>
    <w:p>
      <w:pPr>
        <w:pStyle w:val="Compact"/>
        <w:numPr>
          <w:ilvl w:val="0"/>
          <w:numId w:val="1016"/>
        </w:numPr>
      </w:pPr>
      <w:r>
        <w:t xml:space="preserve">Strong transactions.</w:t>
      </w:r>
    </w:p>
    <w:p>
      <w:pPr>
        <w:pStyle w:val="Compact"/>
        <w:numPr>
          <w:ilvl w:val="0"/>
          <w:numId w:val="1016"/>
        </w:numPr>
      </w:pPr>
      <w:r>
        <w:t xml:space="preserve">Margin upside.</w:t>
      </w:r>
    </w:p>
    <w:p>
      <w:pPr>
        <w:pStyle w:val="Compact"/>
        <w:numPr>
          <w:ilvl w:val="0"/>
          <w:numId w:val="1016"/>
        </w:numPr>
      </w:pPr>
      <w:r>
        <w:t xml:space="preserve">Higher or upper-half fiscal 2026 guidance.</w:t>
      </w:r>
    </w:p>
    <w:p>
      <w:pPr>
        <w:pStyle w:val="Compact"/>
        <w:numPr>
          <w:ilvl w:val="0"/>
          <w:numId w:val="1016"/>
        </w:numPr>
      </w:pPr>
      <w:r>
        <w:t xml:space="preserve">Evidence that the improvement can continue into fiscal 2027.</w:t>
      </w:r>
    </w:p>
    <w:bookmarkEnd w:id="22"/>
    <w:bookmarkStart w:id="26" w:name="bull-base-and-bear-setups"/>
    <w:p>
      <w:pPr>
        <w:pStyle w:val="Heading2"/>
      </w:pPr>
      <w:r>
        <w:t xml:space="preserve">Bull, base, and bear setups</w:t>
      </w:r>
    </w:p>
    <w:bookmarkStart w:id="23" w:name="bull-case"/>
    <w:p>
      <w:pPr>
        <w:pStyle w:val="Heading3"/>
      </w:pPr>
      <w:r>
        <w:t xml:space="preserve">Bull case</w:t>
      </w:r>
    </w:p>
    <w:p>
      <w:pPr>
        <w:pStyle w:val="Compact"/>
        <w:numPr>
          <w:ilvl w:val="0"/>
          <w:numId w:val="1017"/>
        </w:numPr>
      </w:pPr>
      <w:r>
        <w:t xml:space="preserve">Global and U.S. comps exceed 7%.</w:t>
      </w:r>
    </w:p>
    <w:p>
      <w:pPr>
        <w:pStyle w:val="Compact"/>
        <w:numPr>
          <w:ilvl w:val="0"/>
          <w:numId w:val="1017"/>
        </w:numPr>
      </w:pPr>
      <w:r>
        <w:t xml:space="preserve">Transactions remain around 4% or better.</w:t>
      </w:r>
    </w:p>
    <w:p>
      <w:pPr>
        <w:pStyle w:val="Compact"/>
        <w:numPr>
          <w:ilvl w:val="0"/>
          <w:numId w:val="1017"/>
        </w:numPr>
      </w:pPr>
      <w:r>
        <w:t xml:space="preserve">North America margin improves more quickly than expected.</w:t>
      </w:r>
    </w:p>
    <w:p>
      <w:pPr>
        <w:pStyle w:val="Compact"/>
        <w:numPr>
          <w:ilvl w:val="0"/>
          <w:numId w:val="1017"/>
        </w:numPr>
      </w:pPr>
      <w:r>
        <w:t xml:space="preserve">Rewards and afternoon products are clearly incremental.</w:t>
      </w:r>
    </w:p>
    <w:p>
      <w:pPr>
        <w:pStyle w:val="Compact"/>
        <w:numPr>
          <w:ilvl w:val="0"/>
          <w:numId w:val="1017"/>
        </w:numPr>
      </w:pPr>
      <w:r>
        <w:t xml:space="preserve">Management raises EPS guidance or points firmly toward the upper end.</w:t>
      </w:r>
    </w:p>
    <w:p>
      <w:pPr>
        <w:pStyle w:val="Compact"/>
        <w:numPr>
          <w:ilvl w:val="0"/>
          <w:numId w:val="1017"/>
        </w:numPr>
      </w:pPr>
      <w:r>
        <w:t xml:space="preserve">China JV economics are clean and margin-accretive.</w:t>
      </w:r>
    </w:p>
    <w:p>
      <w:pPr>
        <w:pStyle w:val="FirstParagraph"/>
      </w:pPr>
      <w:r>
        <w:t xml:space="preserve">This would support the view that Starbucks is ahead of schedule and that fiscal 2027 can deliver a substantial earnings acceleration.</w:t>
      </w:r>
    </w:p>
    <w:bookmarkEnd w:id="23"/>
    <w:bookmarkStart w:id="24" w:name="base-case"/>
    <w:p>
      <w:pPr>
        <w:pStyle w:val="Heading3"/>
      </w:pPr>
      <w:r>
        <w:t xml:space="preserve">Base case</w:t>
      </w:r>
    </w:p>
    <w:p>
      <w:pPr>
        <w:pStyle w:val="Compact"/>
        <w:numPr>
          <w:ilvl w:val="0"/>
          <w:numId w:val="1018"/>
        </w:numPr>
      </w:pPr>
      <w:r>
        <w:t xml:space="preserve">Global and U.S. comps land around 5%–6%.</w:t>
      </w:r>
    </w:p>
    <w:p>
      <w:pPr>
        <w:pStyle w:val="Compact"/>
        <w:numPr>
          <w:ilvl w:val="0"/>
          <w:numId w:val="1018"/>
        </w:numPr>
      </w:pPr>
      <w:r>
        <w:t xml:space="preserve">Transactions remain positive but moderate sequentially.</w:t>
      </w:r>
    </w:p>
    <w:p>
      <w:pPr>
        <w:pStyle w:val="Compact"/>
        <w:numPr>
          <w:ilvl w:val="0"/>
          <w:numId w:val="1018"/>
        </w:numPr>
      </w:pPr>
      <w:r>
        <w:t xml:space="preserve">EPS is close to $0.65.</w:t>
      </w:r>
    </w:p>
    <w:p>
      <w:pPr>
        <w:pStyle w:val="Compact"/>
        <w:numPr>
          <w:ilvl w:val="0"/>
          <w:numId w:val="1018"/>
        </w:numPr>
      </w:pPr>
      <w:r>
        <w:t xml:space="preserve">Consolidated margin improves, while North America margin remains somewhat pressured.</w:t>
      </w:r>
    </w:p>
    <w:p>
      <w:pPr>
        <w:pStyle w:val="Compact"/>
        <w:numPr>
          <w:ilvl w:val="0"/>
          <w:numId w:val="1018"/>
        </w:numPr>
      </w:pPr>
      <w:r>
        <w:t xml:space="preserve">Guidance is reiterated.</w:t>
      </w:r>
    </w:p>
    <w:p>
      <w:pPr>
        <w:pStyle w:val="Compact"/>
        <w:numPr>
          <w:ilvl w:val="0"/>
          <w:numId w:val="1018"/>
        </w:numPr>
      </w:pPr>
      <w:r>
        <w:t xml:space="preserve">Management remains confident in second-half cost relief and fiscal 2027 leverage.</w:t>
      </w:r>
    </w:p>
    <w:p>
      <w:pPr>
        <w:pStyle w:val="FirstParagraph"/>
      </w:pPr>
      <w:r>
        <w:t xml:space="preserve">This would keep the turnaround intact, although the stock reaction could depend heavily on positioning and the quality of the traffic result.</w:t>
      </w:r>
    </w:p>
    <w:bookmarkEnd w:id="24"/>
    <w:bookmarkStart w:id="25" w:name="bear-case"/>
    <w:p>
      <w:pPr>
        <w:pStyle w:val="Heading3"/>
      </w:pPr>
      <w:r>
        <w:t xml:space="preserve">Bear case</w:t>
      </w:r>
    </w:p>
    <w:p>
      <w:pPr>
        <w:pStyle w:val="Compact"/>
        <w:numPr>
          <w:ilvl w:val="0"/>
          <w:numId w:val="1019"/>
        </w:numPr>
      </w:pPr>
      <w:r>
        <w:t xml:space="preserve">U.S. traffic slows sharply or turns flat.</w:t>
      </w:r>
    </w:p>
    <w:p>
      <w:pPr>
        <w:pStyle w:val="Compact"/>
        <w:numPr>
          <w:ilvl w:val="0"/>
          <w:numId w:val="1019"/>
        </w:numPr>
      </w:pPr>
      <w:r>
        <w:t xml:space="preserve">Comps depend primarily on ticket and delivery mix.</w:t>
      </w:r>
    </w:p>
    <w:p>
      <w:pPr>
        <w:pStyle w:val="Compact"/>
        <w:numPr>
          <w:ilvl w:val="0"/>
          <w:numId w:val="1019"/>
        </w:numPr>
      </w:pPr>
      <w:r>
        <w:t xml:space="preserve">North America margin misses despite strong headline sales.</w:t>
      </w:r>
    </w:p>
    <w:p>
      <w:pPr>
        <w:pStyle w:val="Compact"/>
        <w:numPr>
          <w:ilvl w:val="0"/>
          <w:numId w:val="1019"/>
        </w:numPr>
      </w:pPr>
      <w:r>
        <w:t xml:space="preserve">Coffee, tariffs, fuel, or labor costs remain more persistent than expected.</w:t>
      </w:r>
    </w:p>
    <w:p>
      <w:pPr>
        <w:pStyle w:val="Compact"/>
        <w:numPr>
          <w:ilvl w:val="0"/>
          <w:numId w:val="1019"/>
        </w:numPr>
      </w:pPr>
      <w:r>
        <w:t xml:space="preserve">Rewards engagement comes with higher promotional costs.</w:t>
      </w:r>
    </w:p>
    <w:p>
      <w:pPr>
        <w:pStyle w:val="Compact"/>
        <w:numPr>
          <w:ilvl w:val="0"/>
          <w:numId w:val="1019"/>
        </w:numPr>
      </w:pPr>
      <w:r>
        <w:t xml:space="preserve">Management lowers guidance or becomes less confident in the upper half.</w:t>
      </w:r>
    </w:p>
    <w:p>
      <w:pPr>
        <w:pStyle w:val="Compact"/>
        <w:numPr>
          <w:ilvl w:val="0"/>
          <w:numId w:val="1019"/>
        </w:numPr>
      </w:pPr>
      <w:r>
        <w:t xml:space="preserve">China accounting obscures weaker underlying performance.</w:t>
      </w:r>
    </w:p>
    <w:p>
      <w:pPr>
        <w:pStyle w:val="FirstParagraph"/>
      </w:pPr>
      <w:r>
        <w:t xml:space="preserve">That outcome would revive concerns that Q2 benefited from unusually favorable comparisons or short-lived excitement rather than a durable change in customer behavior.</w:t>
      </w:r>
    </w:p>
    <w:bookmarkEnd w:id="25"/>
    <w:bookmarkEnd w:id="26"/>
    <w:bookmarkStart w:id="27" w:name="questions-investors-should-want-answered"/>
    <w:p>
      <w:pPr>
        <w:pStyle w:val="Heading2"/>
      </w:pPr>
      <w:r>
        <w:t xml:space="preserve">Questions investors should want answered</w:t>
      </w:r>
    </w:p>
    <w:p>
      <w:pPr>
        <w:pStyle w:val="Compact"/>
        <w:numPr>
          <w:ilvl w:val="0"/>
          <w:numId w:val="1020"/>
        </w:numPr>
      </w:pPr>
      <w:r>
        <w:t xml:space="preserve">What were U.S. comparable sales and transactions by month during Q3?</w:t>
      </w:r>
    </w:p>
    <w:p>
      <w:pPr>
        <w:pStyle w:val="Compact"/>
        <w:numPr>
          <w:ilvl w:val="0"/>
          <w:numId w:val="1020"/>
        </w:numPr>
      </w:pPr>
      <w:r>
        <w:t xml:space="preserve">Did transaction growth remain broad across income cohorts and dayparts?</w:t>
      </w:r>
    </w:p>
    <w:p>
      <w:pPr>
        <w:pStyle w:val="Compact"/>
        <w:numPr>
          <w:ilvl w:val="0"/>
          <w:numId w:val="1020"/>
        </w:numPr>
      </w:pPr>
      <w:r>
        <w:t xml:space="preserve">How much did the new Rewards program contribute to frequency and comps?</w:t>
      </w:r>
    </w:p>
    <w:p>
      <w:pPr>
        <w:pStyle w:val="Compact"/>
        <w:numPr>
          <w:ilvl w:val="0"/>
          <w:numId w:val="1020"/>
        </w:numPr>
      </w:pPr>
      <w:r>
        <w:t xml:space="preserve">Are energy Refreshers building a genuinely incremental afternoon occasion?</w:t>
      </w:r>
    </w:p>
    <w:p>
      <w:pPr>
        <w:pStyle w:val="Compact"/>
        <w:numPr>
          <w:ilvl w:val="0"/>
          <w:numId w:val="1020"/>
        </w:numPr>
      </w:pPr>
      <w:r>
        <w:t xml:space="preserve">What percentage of stores now meets Starbucks’ service-time and Grow-score standards?</w:t>
      </w:r>
    </w:p>
    <w:p>
      <w:pPr>
        <w:pStyle w:val="Compact"/>
        <w:numPr>
          <w:ilvl w:val="0"/>
          <w:numId w:val="1020"/>
        </w:numPr>
      </w:pPr>
      <w:r>
        <w:t xml:space="preserve">Is North America labor productivity improving as traffic rises?</w:t>
      </w:r>
    </w:p>
    <w:p>
      <w:pPr>
        <w:pStyle w:val="Compact"/>
        <w:numPr>
          <w:ilvl w:val="0"/>
          <w:numId w:val="1020"/>
        </w:numPr>
      </w:pPr>
      <w:r>
        <w:t xml:space="preserve">How much coffee and tariff relief appeared in Q3, and what is expected in Q4?</w:t>
      </w:r>
    </w:p>
    <w:p>
      <w:pPr>
        <w:pStyle w:val="Compact"/>
        <w:numPr>
          <w:ilvl w:val="0"/>
          <w:numId w:val="1020"/>
        </w:numPr>
      </w:pPr>
      <w:r>
        <w:t xml:space="preserve">What portion of consolidated margin improvement came from China accounting?</w:t>
      </w:r>
    </w:p>
    <w:p>
      <w:pPr>
        <w:pStyle w:val="Compact"/>
        <w:numPr>
          <w:ilvl w:val="0"/>
          <w:numId w:val="1020"/>
        </w:numPr>
      </w:pPr>
      <w:r>
        <w:t xml:space="preserve">Is Starbucks still on track to complete more than 1,000 store uplifts by fiscal year-end?</w:t>
      </w:r>
    </w:p>
    <w:p>
      <w:pPr>
        <w:pStyle w:val="Compact"/>
        <w:numPr>
          <w:ilvl w:val="0"/>
          <w:numId w:val="1020"/>
        </w:numPr>
      </w:pPr>
      <w:r>
        <w:t xml:space="preserve">What does current performance imply for fiscal 2027 earnings growth and the fiscal 2028 margin framework?</w:t>
      </w:r>
    </w:p>
    <w:bookmarkEnd w:id="27"/>
    <w:bookmarkStart w:id="28" w:name="bottom-line"/>
    <w:p>
      <w:pPr>
        <w:pStyle w:val="Heading2"/>
      </w:pPr>
      <w:r>
        <w:t xml:space="preserve">Bottom line</w:t>
      </w:r>
    </w:p>
    <w:p>
      <w:pPr>
        <w:pStyle w:val="FirstParagraph"/>
      </w:pPr>
      <w:r>
        <w:t xml:space="preserve">Starbucks enters fiscal Q3 with real operating momentum but also substantially higher expectations. The turnaround does not need another dramatic acceleration to remain credible, but the report should show that Q2’s transaction recovery was sustainable and that sales growth is beginning to translate into better North America economics.</w:t>
      </w:r>
    </w:p>
    <w:p>
      <w:pPr>
        <w:pStyle w:val="BodyText"/>
      </w:pPr>
      <w:r>
        <w:rPr>
          <w:b/>
          <w:bCs/>
        </w:rPr>
        <w:t xml:space="preserve">The cleanest positive setup is transaction-led U.S. comps near or above 6%, visible sequential margin improvement, and confidence in the upper half of the</w:t>
      </w:r>
      <w:r>
        <w:rPr>
          <w:b/>
          <w:bCs/>
        </w:rPr>
        <w:t xml:space="preserve"> </w:t>
      </w:r>
      <m:oMath>
        <m:r>
          <m:t>2.25</m:t>
        </m:r>
        <m:r>
          <m:rPr>
            <m:sty m:val="p"/>
          </m:rPr>
          <m:t>–</m:t>
        </m:r>
      </m:oMath>
      <w:r>
        <w:rPr>
          <w:b/>
          <w:bCs/>
        </w:rPr>
        <w:t xml:space="preserve">2.45 EPS range.</w:t>
      </w:r>
      <w:r>
        <w:t xml:space="preserve"> </w:t>
      </w:r>
      <w:r>
        <w:t xml:space="preserve">A strong comp accompanied by weak margin conversion would be a more mixed result, while any meaningful traffic slowdown would challenge the increasingly bullish turnaround narrative.</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2026-07-29T01:14:34Z</dcterms:created>
  <dcterms:modified xsi:type="dcterms:W3CDTF">2026-07-29T01:14:34Z</dcterms:modified>
</cp:coreProperties>
</file>

<file path=docProps/custom.xml><?xml version="1.0" encoding="utf-8"?>
<Properties xmlns="http://schemas.openxmlformats.org/officeDocument/2006/custom-properties" xmlns:vt="http://schemas.openxmlformats.org/officeDocument/2006/docPropsVTypes"/>
</file>