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8" w:name="X2186ac3e37bdd87360b4f0312907d700f85aecf"/>
    <w:p>
      <w:pPr>
        <w:pStyle w:val="Heading1"/>
      </w:pPr>
      <w:r>
        <w:t xml:space="preserve">Starbucks (SBUX) — FY2026 Q3 Earnings Preview</w:t>
      </w:r>
    </w:p>
    <w:p>
      <w:pPr>
        <w:pStyle w:val="BlockText"/>
      </w:pPr>
      <w:r>
        <w:rPr>
          <w:b/>
          <w:bCs/>
        </w:rPr>
        <w:t xml:space="preserve">Timing correction:</w:t>
      </w:r>
      <w:r>
        <w:t xml:space="preserve"> </w:t>
      </w:r>
      <w:r>
        <w:t xml:space="preserve">Starbucks is scheduled to report</w:t>
      </w:r>
      <w:r>
        <w:t xml:space="preserve"> </w:t>
      </w:r>
      <w:r>
        <w:rPr>
          <w:b/>
          <w:bCs/>
        </w:rPr>
        <w:t xml:space="preserve">after the market close today, Wednesday, July 29, 2026</w:t>
      </w:r>
      <w:r>
        <w:t xml:space="preserve">, with its earnings call at</w:t>
      </w:r>
      <w:r>
        <w:t xml:space="preserve"> </w:t>
      </w:r>
      <w:r>
        <w:rPr>
          <w:b/>
          <w:bCs/>
        </w:rPr>
        <w:t xml:space="preserve">1:15 p.m. Pacific / 4:15 p.m. Eastern</w:t>
      </w:r>
      <w:r>
        <w:t xml:space="preserve">—not tomorrow.</w:t>
      </w:r>
    </w:p>
    <w:bookmarkStart w:id="9" w:name="Xbed5ab0d353af2785704273ab474ef73ba4e8bf"/>
    <w:p>
      <w:pPr>
        <w:pStyle w:val="Heading2"/>
      </w:pPr>
      <w:r>
        <w:t xml:space="preserve">Investment view: proof of durability, not merely a beat</w:t>
      </w:r>
    </w:p>
    <w:p>
      <w:pPr>
        <w:pStyle w:val="FirstParagraph"/>
      </w:pPr>
      <w:r>
        <w:t xml:space="preserve">Starbucks enters FY2026 Q3 with the turnaround narrative substantially improved following a strong Q2. The central question is no longer whether</w:t>
      </w:r>
      <w:r>
        <w:t xml:space="preserve"> </w:t>
      </w:r>
      <w:r>
        <w:rPr>
          <w:i/>
          <w:iCs/>
        </w:rPr>
        <w:t xml:space="preserve">Back to Starbucks</w:t>
      </w:r>
      <w:r>
        <w:t xml:space="preserve"> </w:t>
      </w:r>
      <w:r>
        <w:t xml:space="preserve">can restore traffic—it is whether the company can</w:t>
      </w:r>
      <w:r>
        <w:t xml:space="preserve"> </w:t>
      </w:r>
      <w:r>
        <w:rPr>
          <w:b/>
          <w:bCs/>
        </w:rPr>
        <w:t xml:space="preserve">sustain transaction-led U.S. comp growth while converting it into margins and EPS</w:t>
      </w:r>
      <w:r>
        <w:t xml:space="preserve">, despite elevated coffee costs, tariffs, labor investment, and a reporting-model disruption from the China joint venture.</w:t>
      </w:r>
    </w:p>
    <w:p>
      <w:pPr>
        <w:pStyle w:val="BodyText"/>
      </w:pPr>
      <w:r>
        <w:t xml:space="preserve">The setup appears favorable, but expectations have moved up. Street framing heading into the print calls for roughly</w:t>
      </w:r>
      <w:r>
        <w:t xml:space="preserve"> </w:t>
      </w:r>
      <w:r>
        <w:rPr>
          <w:b/>
          <w:bCs/>
        </w:rPr>
        <w:t xml:space="preserve">5.75% global comp growth</w:t>
      </w:r>
      <w:r>
        <w:t xml:space="preserve">,</w:t>
      </w:r>
      <w:r>
        <w:t xml:space="preserve"> </w:t>
      </w:r>
      <w:r>
        <w:rPr>
          <w:b/>
          <w:bCs/>
        </w:rPr>
        <w:t xml:space="preserve">6% North America comp growth</w:t>
      </w:r>
      <w:r>
        <w:t xml:space="preserve">, a</w:t>
      </w:r>
      <w:r>
        <w:t xml:space="preserve"> </w:t>
      </w:r>
      <w:r>
        <w:rPr>
          <w:b/>
          <w:bCs/>
        </w:rPr>
        <w:t xml:space="preserve">12.33% operating margin</w:t>
      </w:r>
      <w:r>
        <w:t xml:space="preserve">, and</w:t>
      </w:r>
      <w:r>
        <w:t xml:space="preserve"> </w:t>
      </w:r>
      <w:r>
        <w:rPr>
          <w:b/>
          <w:bCs/>
        </w:rPr>
        <w:t xml:space="preserve">$0.65 of EPS</w:t>
      </w:r>
      <w:r>
        <w:t xml:space="preserve">. That EPS expectation would imply approximately 30% growth from FY2025 Q3 adjusted EPS of $0.50. In other words, a modest beat may not suffice if the company cannot validate the path to stronger second-half margin flow-through.</w:t>
      </w:r>
    </w:p>
    <w:bookmarkEnd w:id="9"/>
    <w:bookmarkStart w:id="12" w:name="what-matters-most"/>
    <w:p>
      <w:pPr>
        <w:pStyle w:val="Heading2"/>
      </w:pPr>
      <w:r>
        <w:t xml:space="preserve">What matters most</w:t>
      </w:r>
    </w:p>
    <w:bookmarkStart w:id="10" w:name="X219ebefdb8cb0f9602a2b5106ffffb1325157ec"/>
    <w:p>
      <w:pPr>
        <w:pStyle w:val="Heading3"/>
      </w:pPr>
      <w:r>
        <w:t xml:space="preserve">1. U.S. transaction growth is the headline KPI</w:t>
      </w:r>
    </w:p>
    <w:p>
      <w:pPr>
        <w:pStyle w:val="FirstParagraph"/>
      </w:pPr>
      <w:r>
        <w:t xml:space="preserve">Q2 was the clearest evidence yet of a turnaround: U.S. comparable sales rose</w:t>
      </w:r>
      <w:r>
        <w:t xml:space="preserve"> </w:t>
      </w:r>
      <w:r>
        <w:rPr>
          <w:b/>
          <w:bCs/>
        </w:rPr>
        <w:t xml:space="preserve">7.1%</w:t>
      </w:r>
      <w:r>
        <w:t xml:space="preserve">, driven by</w:t>
      </w:r>
      <w:r>
        <w:t xml:space="preserve"> </w:t>
      </w:r>
      <w:r>
        <w:rPr>
          <w:b/>
          <w:bCs/>
        </w:rPr>
        <w:t xml:space="preserve">4.3% transaction growth</w:t>
      </w:r>
      <w:r>
        <w:t xml:space="preserve"> </w:t>
      </w:r>
      <w:r>
        <w:t xml:space="preserve">and</w:t>
      </w:r>
      <w:r>
        <w:t xml:space="preserve"> </w:t>
      </w:r>
      <w:r>
        <w:rPr>
          <w:b/>
          <w:bCs/>
        </w:rPr>
        <w:t xml:space="preserve">2.7% ticket growth</w:t>
      </w:r>
      <w:r>
        <w:t xml:space="preserve">. Management said April trends remained positive, with transactions improving across dayparts, income cohorts, and customer types.</w:t>
      </w:r>
    </w:p>
    <w:p>
      <w:pPr>
        <w:pStyle w:val="BodyText"/>
      </w:pPr>
      <w:r>
        <w:t xml:space="preserve">For Q3, investors should focus less on ticket and more on whether Starbucks can sustain healthy</w:t>
      </w:r>
      <w:r>
        <w:t xml:space="preserve"> </w:t>
      </w:r>
      <w:r>
        <w:rPr>
          <w:b/>
          <w:bCs/>
        </w:rPr>
        <w:t xml:space="preserve">traffic/transaction growth</w:t>
      </w:r>
      <w:r>
        <w:t xml:space="preserve">:</w:t>
      </w:r>
    </w:p>
    <w:p>
      <w:pPr>
        <w:pStyle w:val="Compact"/>
        <w:numPr>
          <w:ilvl w:val="0"/>
          <w:numId w:val="1001"/>
        </w:numPr>
      </w:pPr>
      <w:r>
        <w:rPr>
          <w:b/>
          <w:bCs/>
        </w:rPr>
        <w:t xml:space="preserve">Bull case:</w:t>
      </w:r>
      <w:r>
        <w:t xml:space="preserve"> </w:t>
      </w:r>
      <w:r>
        <w:t xml:space="preserve">U.S. comps at or above the ~6% Street view, still led principally by transactions. That would support management’s claim that improved service, staffing, loyalty, and product innovation are producing durable demand.</w:t>
      </w:r>
    </w:p>
    <w:p>
      <w:pPr>
        <w:pStyle w:val="Compact"/>
        <w:numPr>
          <w:ilvl w:val="0"/>
          <w:numId w:val="1001"/>
        </w:numPr>
      </w:pPr>
      <w:r>
        <w:rPr>
          <w:b/>
          <w:bCs/>
        </w:rPr>
        <w:t xml:space="preserve">Bear case:</w:t>
      </w:r>
      <w:r>
        <w:t xml:space="preserve"> </w:t>
      </w:r>
      <w:r>
        <w:t xml:space="preserve">Comps remain positive but become primarily ticket-driven, or traffic fades meaningfully from Q2 levels. That would reopen concern that the recovery is promotional, price-led, or temporary.</w:t>
      </w:r>
    </w:p>
    <w:p>
      <w:pPr>
        <w:pStyle w:val="FirstParagraph"/>
      </w:pPr>
      <w:r>
        <w:t xml:space="preserve">The drivers to watch are tangible: Green Apron Service execution, better mobile-order sequencing, delivery growth, summer refreshers, Cold Foam, food attachment, and the redesigned Starbucks Rewards program. In Q2, 90-day active Rewards membership reached a record</w:t>
      </w:r>
      <w:r>
        <w:t xml:space="preserve"> </w:t>
      </w:r>
      <w:r>
        <w:rPr>
          <w:b/>
          <w:bCs/>
        </w:rPr>
        <w:t xml:space="preserve">35.6 million</w:t>
      </w:r>
      <w:r>
        <w:t xml:space="preserve">, up 4% year over year; management also highlighted rising visit frequency following the March program redesign.</w:t>
      </w:r>
    </w:p>
    <w:bookmarkEnd w:id="10"/>
    <w:bookmarkStart w:id="11" w:name="Xa691011a064be8a94ad5e2cd4ac86afe7e92646"/>
    <w:p>
      <w:pPr>
        <w:pStyle w:val="Heading3"/>
      </w:pPr>
      <w:r>
        <w:t xml:space="preserve">2. Margin conversion is likely the market’s real test</w:t>
      </w:r>
    </w:p>
    <w:p>
      <w:pPr>
        <w:pStyle w:val="FirstParagraph"/>
      </w:pPr>
      <w:r>
        <w:t xml:space="preserve">Q2 adjusted operating margin expanded 120 bps year over year to</w:t>
      </w:r>
      <w:r>
        <w:t xml:space="preserve"> </w:t>
      </w:r>
      <w:r>
        <w:rPr>
          <w:b/>
          <w:bCs/>
        </w:rPr>
        <w:t xml:space="preserve">9.4%</w:t>
      </w:r>
      <w:r>
        <w:t xml:space="preserve">, but North America segment margin still contracted</w:t>
      </w:r>
      <w:r>
        <w:t xml:space="preserve"> </w:t>
      </w:r>
      <w:r>
        <w:rPr>
          <w:b/>
          <w:bCs/>
        </w:rPr>
        <w:t xml:space="preserve">170 bps</w:t>
      </w:r>
      <w:r>
        <w:t xml:space="preserve"> </w:t>
      </w:r>
      <w:r>
        <w:t xml:space="preserve">to</w:t>
      </w:r>
      <w:r>
        <w:t xml:space="preserve"> </w:t>
      </w:r>
      <w:r>
        <w:rPr>
          <w:b/>
          <w:bCs/>
        </w:rPr>
        <w:t xml:space="preserve">9.9%</w:t>
      </w:r>
      <w:r>
        <w:t xml:space="preserve">. Labor investment, innovation-related mix, elevated coffee costs, tariffs, and legal accruals remained meaningful offsets to sales leverage.</w:t>
      </w:r>
    </w:p>
    <w:p>
      <w:pPr>
        <w:pStyle w:val="BodyText"/>
      </w:pPr>
      <w:r>
        <w:t xml:space="preserve">The key Q3 issue is whether strong comp growth can now produce visibly better profitability:</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FY2025 Q3 actual</w:t>
            </w:r>
          </w:p>
        </w:tc>
        <w:tc>
          <w:tcPr/>
          <w:p>
            <w:pPr>
              <w:pStyle w:val="Compact"/>
              <w:jc w:val="right"/>
            </w:pPr>
            <w:r>
              <w:t xml:space="preserve">FY2026 Q3 Street framing</w:t>
            </w:r>
          </w:p>
        </w:tc>
      </w:tr>
      <w:tr>
        <w:tc>
          <w:tcPr/>
          <w:p>
            <w:pPr>
              <w:pStyle w:val="Compact"/>
            </w:pPr>
            <w:r>
              <w:t xml:space="preserve">Global comparable sales</w:t>
            </w:r>
          </w:p>
        </w:tc>
        <w:tc>
          <w:tcPr/>
          <w:p>
            <w:pPr>
              <w:pStyle w:val="Compact"/>
              <w:jc w:val="right"/>
            </w:pPr>
            <w:r>
              <w:t xml:space="preserve">(2.0%)</w:t>
            </w:r>
          </w:p>
        </w:tc>
        <w:tc>
          <w:tcPr/>
          <w:p>
            <w:pPr>
              <w:pStyle w:val="Compact"/>
              <w:jc w:val="right"/>
            </w:pPr>
            <w:r>
              <w:t xml:space="preserve">~5.75%</w:t>
            </w:r>
          </w:p>
        </w:tc>
      </w:tr>
      <w:tr>
        <w:tc>
          <w:tcPr/>
          <w:p>
            <w:pPr>
              <w:pStyle w:val="Compact"/>
            </w:pPr>
            <w:r>
              <w:t xml:space="preserve">North America comparable sales</w:t>
            </w:r>
          </w:p>
        </w:tc>
        <w:tc>
          <w:tcPr/>
          <w:p>
            <w:pPr>
              <w:pStyle w:val="Compact"/>
              <w:jc w:val="right"/>
            </w:pPr>
            <w:r>
              <w:t xml:space="preserve">(2.0%)</w:t>
            </w:r>
          </w:p>
        </w:tc>
        <w:tc>
          <w:tcPr/>
          <w:p>
            <w:pPr>
              <w:pStyle w:val="Compact"/>
              <w:jc w:val="right"/>
            </w:pPr>
            <w:r>
              <w:t xml:space="preserve">~6.0%</w:t>
            </w:r>
          </w:p>
        </w:tc>
      </w:tr>
      <w:tr>
        <w:tc>
          <w:tcPr/>
          <w:p>
            <w:pPr>
              <w:pStyle w:val="Compact"/>
            </w:pPr>
            <w:r>
              <w:t xml:space="preserve">Adjusted operating margin</w:t>
            </w:r>
          </w:p>
        </w:tc>
        <w:tc>
          <w:tcPr/>
          <w:p>
            <w:pPr>
              <w:pStyle w:val="Compact"/>
              <w:jc w:val="right"/>
            </w:pPr>
            <w:r>
              <w:t xml:space="preserve">10.1%</w:t>
            </w:r>
          </w:p>
        </w:tc>
        <w:tc>
          <w:tcPr/>
          <w:p>
            <w:pPr>
              <w:pStyle w:val="Compact"/>
              <w:jc w:val="right"/>
            </w:pPr>
            <w:r>
              <w:t xml:space="preserve">~12.33%</w:t>
            </w:r>
          </w:p>
        </w:tc>
      </w:tr>
      <w:tr>
        <w:tc>
          <w:tcPr/>
          <w:p>
            <w:pPr>
              <w:pStyle w:val="Compact"/>
            </w:pPr>
            <w:r>
              <w:t xml:space="preserve">Adjusted EPS</w:t>
            </w:r>
          </w:p>
        </w:tc>
        <w:tc>
          <w:tcPr/>
          <w:p>
            <w:pPr>
              <w:pStyle w:val="Compact"/>
              <w:jc w:val="right"/>
            </w:pPr>
            <w:r>
              <w:t xml:space="preserve">$0.50</w:t>
            </w:r>
          </w:p>
        </w:tc>
        <w:tc>
          <w:tcPr/>
          <w:p>
            <w:pPr>
              <w:pStyle w:val="Compact"/>
              <w:jc w:val="right"/>
            </w:pPr>
            <w:r>
              <w:t xml:space="preserve">~$0.65</w:t>
            </w:r>
          </w:p>
        </w:tc>
      </w:tr>
    </w:tbl>
    <w:p>
      <w:pPr>
        <w:pStyle w:val="BodyText"/>
      </w:pPr>
      <w:r>
        <w:t xml:space="preserve">Several factors could support year-over-year margin expansion:</w:t>
      </w:r>
    </w:p>
    <w:p>
      <w:pPr>
        <w:pStyle w:val="Compact"/>
        <w:numPr>
          <w:ilvl w:val="0"/>
          <w:numId w:val="1002"/>
        </w:numPr>
      </w:pPr>
      <w:r>
        <w:t xml:space="preserve">Sales leverage from stronger transactions and throughput.</w:t>
      </w:r>
    </w:p>
    <w:p>
      <w:pPr>
        <w:pStyle w:val="Compact"/>
        <w:numPr>
          <w:ilvl w:val="0"/>
          <w:numId w:val="1002"/>
        </w:numPr>
      </w:pPr>
      <w:r>
        <w:t xml:space="preserve">Lower year-ago comparability, when Q3 FY2025 absorbed significant leadership-event and turnaround-related costs.</w:t>
      </w:r>
    </w:p>
    <w:p>
      <w:pPr>
        <w:pStyle w:val="Compact"/>
        <w:numPr>
          <w:ilvl w:val="0"/>
          <w:numId w:val="1002"/>
        </w:numPr>
      </w:pPr>
      <w:r>
        <w:t xml:space="preserve">Gradual benefits from organizational streamlining and the broader</w:t>
      </w:r>
      <w:r>
        <w:t xml:space="preserve"> </w:t>
      </w:r>
      <w:r>
        <w:rPr>
          <w:b/>
          <w:bCs/>
        </w:rPr>
        <w:t xml:space="preserve">$2 billion cost-savings plan</w:t>
      </w:r>
      <w:r>
        <w:t xml:space="preserve">.</w:t>
      </w:r>
    </w:p>
    <w:p>
      <w:pPr>
        <w:pStyle w:val="Compact"/>
        <w:numPr>
          <w:ilvl w:val="0"/>
          <w:numId w:val="1002"/>
        </w:numPr>
      </w:pPr>
      <w:r>
        <w:t xml:space="preserve">Management’s expectation that coffee-price and tariff pressure should begin moderating in the fiscal second half.</w:t>
      </w:r>
    </w:p>
    <w:p>
      <w:pPr>
        <w:pStyle w:val="FirstParagraph"/>
      </w:pPr>
      <w:r>
        <w:t xml:space="preserve">However, investors should be alert to the quality of the margin outcome. Strong margin expansion driven primarily by the China accounting transition, one-time items, or timing benefits would be less compelling than improvement in the</w:t>
      </w:r>
      <w:r>
        <w:t xml:space="preserve"> </w:t>
      </w:r>
      <w:r>
        <w:rPr>
          <w:b/>
          <w:bCs/>
        </w:rPr>
        <w:t xml:space="preserve">North America operating margin</w:t>
      </w:r>
      <w:r>
        <w:t xml:space="preserve">.</w:t>
      </w:r>
    </w:p>
    <w:bookmarkEnd w:id="11"/>
    <w:bookmarkEnd w:id="12"/>
    <w:bookmarkStart w:id="13" w:name="china-is-the-major-comparability-trap"/>
    <w:p>
      <w:pPr>
        <w:pStyle w:val="Heading2"/>
      </w:pPr>
      <w:r>
        <w:t xml:space="preserve">China is the major comparability trap</w:t>
      </w:r>
    </w:p>
    <w:p>
      <w:pPr>
        <w:pStyle w:val="FirstParagraph"/>
      </w:pPr>
      <w:r>
        <w:t xml:space="preserve">This is the first quarter in which Starbucks will report China under its new structure with Boyu Capital. Starbucks closed the transaction shortly after Q2: Boyu owns</w:t>
      </w:r>
      <w:r>
        <w:t xml:space="preserve"> </w:t>
      </w:r>
      <w:r>
        <w:rPr>
          <w:b/>
          <w:bCs/>
        </w:rPr>
        <w:t xml:space="preserve">60%</w:t>
      </w:r>
      <w:r>
        <w:t xml:space="preserve"> </w:t>
      </w:r>
      <w:r>
        <w:t xml:space="preserve">of the China retail operation, while Starbucks retains</w:t>
      </w:r>
      <w:r>
        <w:t xml:space="preserve"> </w:t>
      </w:r>
      <w:r>
        <w:rPr>
          <w:b/>
          <w:bCs/>
        </w:rPr>
        <w:t xml:space="preserve">40%</w:t>
      </w:r>
      <w:r>
        <w:t xml:space="preserve"> </w:t>
      </w:r>
      <w:r>
        <w:t xml:space="preserve">and continues to own and license the brand/IP.</w:t>
      </w:r>
    </w:p>
    <w:p>
      <w:pPr>
        <w:pStyle w:val="BodyText"/>
      </w:pPr>
      <w:r>
        <w:t xml:space="preserve">The accounting consequences are substantial:</w:t>
      </w:r>
    </w:p>
    <w:p>
      <w:pPr>
        <w:pStyle w:val="Compact"/>
        <w:numPr>
          <w:ilvl w:val="0"/>
          <w:numId w:val="1003"/>
        </w:numPr>
      </w:pPr>
      <w:r>
        <w:t xml:space="preserve">China retail operations are now</w:t>
      </w:r>
      <w:r>
        <w:t xml:space="preserve"> </w:t>
      </w:r>
      <w:r>
        <w:rPr>
          <w:b/>
          <w:bCs/>
        </w:rPr>
        <w:t xml:space="preserve">deconsolidated</w:t>
      </w:r>
      <w:r>
        <w:t xml:space="preserve"> </w:t>
      </w:r>
      <w:r>
        <w:t xml:space="preserve">and will be reported within the licensed portfolio.</w:t>
      </w:r>
    </w:p>
    <w:p>
      <w:pPr>
        <w:pStyle w:val="Compact"/>
        <w:numPr>
          <w:ilvl w:val="0"/>
          <w:numId w:val="1003"/>
        </w:numPr>
      </w:pPr>
      <w:r>
        <w:t xml:space="preserve">Starbucks will</w:t>
      </w:r>
      <w:r>
        <w:t xml:space="preserve"> </w:t>
      </w:r>
      <w:r>
        <w:rPr>
          <w:b/>
          <w:bCs/>
        </w:rPr>
        <w:t xml:space="preserve">stop reporting standalone China revenue and comp sales</w:t>
      </w:r>
      <w:r>
        <w:t xml:space="preserve">.</w:t>
      </w:r>
    </w:p>
    <w:p>
      <w:pPr>
        <w:pStyle w:val="Compact"/>
        <w:numPr>
          <w:ilvl w:val="0"/>
          <w:numId w:val="1003"/>
        </w:numPr>
      </w:pPr>
      <w:r>
        <w:t xml:space="preserve">Management said China-related revenue in the fiscal second half would be</w:t>
      </w:r>
      <w:r>
        <w:t xml:space="preserve"> </w:t>
      </w:r>
      <w:r>
        <w:rPr>
          <w:b/>
          <w:bCs/>
        </w:rPr>
        <w:t xml:space="preserve">less than 20%</w:t>
      </w:r>
      <w:r>
        <w:t xml:space="preserve"> </w:t>
      </w:r>
      <w:r>
        <w:t xml:space="preserve">of what Starbucks previously reported when China was consolidated.</w:t>
      </w:r>
    </w:p>
    <w:p>
      <w:pPr>
        <w:pStyle w:val="Compact"/>
        <w:numPr>
          <w:ilvl w:val="0"/>
          <w:numId w:val="1003"/>
        </w:numPr>
      </w:pPr>
      <w:r>
        <w:t xml:space="preserve">The company expects the China licensing structure to be margin-accretive, with roughly</w:t>
      </w:r>
      <w:r>
        <w:t xml:space="preserve"> </w:t>
      </w:r>
      <w:r>
        <w:rPr>
          <w:b/>
          <w:bCs/>
        </w:rPr>
        <w:t xml:space="preserve">half of China-related revenue flowing to operating income</w:t>
      </w:r>
      <w:r>
        <w:t xml:space="preserve">.</w:t>
      </w:r>
    </w:p>
    <w:p>
      <w:pPr>
        <w:pStyle w:val="Compact"/>
        <w:numPr>
          <w:ilvl w:val="0"/>
          <w:numId w:val="1003"/>
        </w:numPr>
      </w:pPr>
      <w:r>
        <w:t xml:space="preserve">Q2 guidance excluded the anticipated gain and related tax effects from the China transaction because management was still assessing the Q3 accounting impact.</w:t>
      </w:r>
    </w:p>
    <w:p>
      <w:pPr>
        <w:pStyle w:val="FirstParagraph"/>
      </w:pPr>
      <w:r>
        <w:rPr>
          <w:b/>
          <w:bCs/>
        </w:rPr>
        <w:t xml:space="preserve">Implication:</w:t>
      </w:r>
      <w:r>
        <w:t xml:space="preserve"> </w:t>
      </w:r>
      <w:r>
        <w:t xml:space="preserve">headline consolidated revenue could look weak—or even decline sharply—despite sound underlying operating performance. Investors should prioritize U.S. comps, North America profit, license revenue/equity income, cash proceeds/debt reduction, and management’s normalized earnings bridge rather than judging the quarter from reported revenue growth alone.</w:t>
      </w:r>
    </w:p>
    <w:bookmarkEnd w:id="13"/>
    <w:bookmarkStart w:id="14" w:name="X0da7b53c4a869354a3776e8e2130cd3a86d1f1f"/>
    <w:p>
      <w:pPr>
        <w:pStyle w:val="Heading2"/>
      </w:pPr>
      <w:r>
        <w:t xml:space="preserve">Guidance: confirmation likely matters more than an increase</w:t>
      </w:r>
    </w:p>
    <w:p>
      <w:pPr>
        <w:pStyle w:val="FirstParagraph"/>
      </w:pPr>
      <w:r>
        <w:t xml:space="preserve">After Q2, Starbucks raised FY2026 guidance to:</w:t>
      </w:r>
    </w:p>
    <w:p>
      <w:pPr>
        <w:pStyle w:val="Compact"/>
        <w:numPr>
          <w:ilvl w:val="0"/>
          <w:numId w:val="1004"/>
        </w:numPr>
      </w:pPr>
      <w:r>
        <w:rPr>
          <w:b/>
          <w:bCs/>
        </w:rPr>
        <w:t xml:space="preserve">Global and U.S. comparable sales growth:</w:t>
      </w:r>
      <w:r>
        <w:t xml:space="preserve"> </w:t>
      </w:r>
      <w:r>
        <w:rPr>
          <w:b/>
          <w:bCs/>
        </w:rPr>
        <w:t xml:space="preserve">5% or greater</w:t>
      </w:r>
    </w:p>
    <w:p>
      <w:pPr>
        <w:pStyle w:val="Compact"/>
        <w:numPr>
          <w:ilvl w:val="0"/>
          <w:numId w:val="1004"/>
        </w:numPr>
      </w:pPr>
      <w:r>
        <w:rPr>
          <w:b/>
          <w:bCs/>
        </w:rPr>
        <w:t xml:space="preserve">Consolidated revenue:</w:t>
      </w:r>
      <w:r>
        <w:t xml:space="preserve"> </w:t>
      </w:r>
      <w:r>
        <w:t xml:space="preserve">roughly flat year over year, reflecting China deconsolidation</w:t>
      </w:r>
    </w:p>
    <w:p>
      <w:pPr>
        <w:pStyle w:val="Compact"/>
        <w:numPr>
          <w:ilvl w:val="0"/>
          <w:numId w:val="1004"/>
        </w:numPr>
      </w:pPr>
      <w:r>
        <w:rPr>
          <w:b/>
          <w:bCs/>
        </w:rPr>
        <w:t xml:space="preserve">Adjusted operating margin:</w:t>
      </w:r>
      <w:r>
        <w:t xml:space="preserve"> </w:t>
      </w:r>
      <w:r>
        <w:t xml:space="preserve">slight year-over-year improvement</w:t>
      </w:r>
    </w:p>
    <w:p>
      <w:pPr>
        <w:pStyle w:val="Compact"/>
        <w:numPr>
          <w:ilvl w:val="0"/>
          <w:numId w:val="1004"/>
        </w:numPr>
      </w:pPr>
      <w:r>
        <w:rPr>
          <w:b/>
          <w:bCs/>
        </w:rPr>
        <w:t xml:space="preserve">Adjusted EPS:</w:t>
      </w:r>
      <w:r>
        <w:t xml:space="preserve"> </w:t>
      </w:r>
      <m:oMath>
        <m:r>
          <m:t>2.25</m:t>
        </m:r>
        <m:r>
          <m:rPr>
            <m:sty m:val="p"/>
          </m:rPr>
          <m:t>–</m:t>
        </m:r>
      </m:oMath>
      <w:r>
        <w:rPr>
          <w:b/>
          <w:bCs/>
        </w:rPr>
        <w:t xml:space="preserve">2.45</w:t>
      </w:r>
    </w:p>
    <w:p>
      <w:pPr>
        <w:pStyle w:val="Compact"/>
        <w:numPr>
          <w:ilvl w:val="0"/>
          <w:numId w:val="1004"/>
        </w:numPr>
      </w:pPr>
      <w:r>
        <w:rPr>
          <w:b/>
          <w:bCs/>
        </w:rPr>
        <w:t xml:space="preserve">Net new stores:</w:t>
      </w:r>
      <w:r>
        <w:t xml:space="preserve"> </w:t>
      </w:r>
      <w:r>
        <w:t xml:space="preserve">approximately</w:t>
      </w:r>
      <w:r>
        <w:t xml:space="preserve"> </w:t>
      </w:r>
      <w:r>
        <w:rPr>
          <w:b/>
          <w:bCs/>
        </w:rPr>
        <w:t xml:space="preserve">600–650</w:t>
      </w:r>
      <w:r>
        <w:t xml:space="preserve"> </w:t>
      </w:r>
      <w:r>
        <w:t xml:space="preserve">globally</w:t>
      </w:r>
    </w:p>
    <w:p>
      <w:pPr>
        <w:pStyle w:val="FirstParagraph"/>
      </w:pPr>
      <w:r>
        <w:t xml:space="preserve">A reiteration is likely acceptable if Q3 supports the existing framework. The stock reaction may hinge on the tone around the high end of EPS guidance. Management previously said reaching the upper end requires stronger-than-5% comp growth, easing coffee costs, contained fuel/macro effects, and improved innovation-related product costs.</w:t>
      </w:r>
    </w:p>
    <w:p>
      <w:pPr>
        <w:pStyle w:val="BodyText"/>
      </w:pPr>
      <w:r>
        <w:t xml:space="preserve">A guidance raise would be constructive, but the more credible positive outcome may be an unchanged range with commentary that Q3 momentum, coffee costs, and operating leverage position the company toward the upper half.</w:t>
      </w:r>
    </w:p>
    <w:bookmarkEnd w:id="14"/>
    <w:bookmarkStart w:id="15" w:name="other-items-to-monitor"/>
    <w:p>
      <w:pPr>
        <w:pStyle w:val="Heading2"/>
      </w:pPr>
      <w:r>
        <w:t xml:space="preserve">Other items to monitor</w:t>
      </w:r>
    </w:p>
    <w:p>
      <w:pPr>
        <w:pStyle w:val="Compact"/>
        <w:numPr>
          <w:ilvl w:val="0"/>
          <w:numId w:val="1005"/>
        </w:numPr>
      </w:pPr>
      <w:r>
        <w:rPr>
          <w:b/>
          <w:bCs/>
        </w:rPr>
        <w:t xml:space="preserve">Restructuring charges:</w:t>
      </w:r>
      <w:r>
        <w:t xml:space="preserve"> </w:t>
      </w:r>
      <w:r>
        <w:t xml:space="preserve">In May, Starbucks announced a restructuring plan expected to produce about</w:t>
      </w:r>
      <w:r>
        <w:t xml:space="preserve"> </w:t>
      </w:r>
      <m:oMath>
        <m:r>
          <m:t>400</m:t>
        </m:r>
        <m:r>
          <m:t>m</m:t>
        </m:r>
        <m:r>
          <m:t>i</m:t>
        </m:r>
        <m:r>
          <m:t>l</m:t>
        </m:r>
        <m:r>
          <m:t>l</m:t>
        </m:r>
        <m:r>
          <m:t>i</m:t>
        </m:r>
        <m:r>
          <m:t>o</m:t>
        </m:r>
        <m:r>
          <m:t>n</m:t>
        </m:r>
        <m:r>
          <m:rPr>
            <m:sty m:val="p"/>
          </m:rPr>
          <m:t>*</m:t>
        </m:r>
        <m:r>
          <m:rPr>
            <m:sty m:val="p"/>
          </m:rPr>
          <m:t>*</m:t>
        </m:r>
        <m:r>
          <m:t>o</m:t>
        </m:r>
        <m:r>
          <m:t>f</m:t>
        </m:r>
        <m:r>
          <m:t>c</m:t>
        </m:r>
        <m:r>
          <m:t>h</m:t>
        </m:r>
        <m:r>
          <m:t>a</m:t>
        </m:r>
        <m:r>
          <m:t>r</m:t>
        </m:r>
        <m:r>
          <m:t>g</m:t>
        </m:r>
        <m:r>
          <m:t>e</m:t>
        </m:r>
        <m:r>
          <m:t>s</m:t>
        </m:r>
        <m:r>
          <m:rPr>
            <m:sty m:val="p"/>
          </m:rPr>
          <m:t>,</m:t>
        </m:r>
        <m:r>
          <m:t>i</m:t>
        </m:r>
        <m:r>
          <m:t>n</m:t>
        </m:r>
        <m:r>
          <m:t>c</m:t>
        </m:r>
        <m:r>
          <m:t>l</m:t>
        </m:r>
        <m:r>
          <m:t>u</m:t>
        </m:r>
        <m:r>
          <m:t>d</m:t>
        </m:r>
        <m:r>
          <m:t>i</m:t>
        </m:r>
        <m:r>
          <m:t>n</m:t>
        </m:r>
        <m:r>
          <m:t>g</m:t>
        </m:r>
        <m:r>
          <m:t>a</m:t>
        </m:r>
        <m:r>
          <m:t>p</m:t>
        </m:r>
        <m:r>
          <m:t>p</m:t>
        </m:r>
        <m:r>
          <m:t>r</m:t>
        </m:r>
        <m:r>
          <m:t>o</m:t>
        </m:r>
        <m:r>
          <m:t>x</m:t>
        </m:r>
        <m:r>
          <m:t>i</m:t>
        </m:r>
        <m:r>
          <m:t>m</m:t>
        </m:r>
        <m:r>
          <m:t>a</m:t>
        </m:r>
        <m:r>
          <m:t>t</m:t>
        </m:r>
        <m:r>
          <m:t>e</m:t>
        </m:r>
        <m:r>
          <m:t>l</m:t>
        </m:r>
        <m:r>
          <m:t>y</m:t>
        </m:r>
        <m:r>
          <m:rPr>
            <m:sty m:val="p"/>
          </m:rPr>
          <m:t>*</m:t>
        </m:r>
        <m:r>
          <m:rPr>
            <m:sty m:val="p"/>
          </m:rPr>
          <m:t>*</m:t>
        </m:r>
      </m:oMath>
      <w:r>
        <w:rPr>
          <w:b/>
          <w:bCs/>
        </w:rPr>
        <w:t xml:space="preserve">280 million non-cash impairments</w:t>
      </w:r>
      <w:r>
        <w:t xml:space="preserve"> </w:t>
      </w:r>
      <w:r>
        <w:t xml:space="preserve">and</w:t>
      </w:r>
      <w:r>
        <w:t xml:space="preserve"> </w:t>
      </w:r>
      <w:r>
        <w:rPr>
          <w:b/>
          <w:bCs/>
        </w:rPr>
        <w:t xml:space="preserve">$120 million of cash separation costs</w:t>
      </w:r>
      <w:r>
        <w:t xml:space="preserve">. These could make GAAP results noisy even if adjusted earnings are solid.</w:t>
      </w:r>
    </w:p>
    <w:p>
      <w:pPr>
        <w:pStyle w:val="Compact"/>
        <w:numPr>
          <w:ilvl w:val="0"/>
          <w:numId w:val="1005"/>
        </w:numPr>
      </w:pPr>
      <w:r>
        <w:rPr>
          <w:b/>
          <w:bCs/>
        </w:rPr>
        <w:t xml:space="preserve">Store growth:</w:t>
      </w:r>
      <w:r>
        <w:t xml:space="preserve"> </w:t>
      </w:r>
      <w:r>
        <w:t xml:space="preserve">Q2 net openings were just 11, but management expects international unit growth to accelerate in the back half, including China under the new JV. Updated unit outlook and the nature of U.S. portfolio optimization will matter.</w:t>
      </w:r>
    </w:p>
    <w:p>
      <w:pPr>
        <w:pStyle w:val="Compact"/>
        <w:numPr>
          <w:ilvl w:val="0"/>
          <w:numId w:val="1005"/>
        </w:numPr>
      </w:pPr>
      <w:r>
        <w:rPr>
          <w:b/>
          <w:bCs/>
        </w:rPr>
        <w:t xml:space="preserve">Balance sheet/capital allocation:</w:t>
      </w:r>
      <w:r>
        <w:t xml:space="preserve"> </w:t>
      </w:r>
      <w:r>
        <w:t xml:space="preserve">Starbucks received about</w:t>
      </w:r>
      <w:r>
        <w:t xml:space="preserve"> </w:t>
      </w:r>
      <w:r>
        <w:rPr>
          <w:b/>
          <w:bCs/>
        </w:rPr>
        <w:t xml:space="preserve">$3.1 billion in gross cash proceeds before taxes</w:t>
      </w:r>
      <w:r>
        <w:t xml:space="preserve"> </w:t>
      </w:r>
      <w:r>
        <w:t xml:space="preserve">from the China transaction and had already repaid a $1 billion February debt maturity. Investors should look for further debt reduction, clarity on taxes and transaction proceeds, and confirmation of dividend support.</w:t>
      </w:r>
    </w:p>
    <w:p>
      <w:pPr>
        <w:pStyle w:val="Compact"/>
        <w:numPr>
          <w:ilvl w:val="0"/>
          <w:numId w:val="1005"/>
        </w:numPr>
      </w:pPr>
      <w:r>
        <w:rPr>
          <w:b/>
          <w:bCs/>
        </w:rPr>
        <w:t xml:space="preserve">Stock setup:</w:t>
      </w:r>
      <w:r>
        <w:t xml:space="preserve"> </w:t>
      </w:r>
      <w:r>
        <w:t xml:space="preserve">SBUX closed at</w:t>
      </w:r>
      <w:r>
        <w:t xml:space="preserve"> </w:t>
      </w:r>
      <m:oMath>
        <m:r>
          <m:t>103.13</m:t>
        </m:r>
        <m:r>
          <m:t>o</m:t>
        </m:r>
        <m:r>
          <m:t>n</m:t>
        </m:r>
        <m:r>
          <m:t>J</m:t>
        </m:r>
        <m:r>
          <m:t>u</m:t>
        </m:r>
        <m:r>
          <m:t>l</m:t>
        </m:r>
        <m:r>
          <m:t>y</m:t>
        </m:r>
        <m:r>
          <m:t>28</m:t>
        </m:r>
        <m:r>
          <m:rPr>
            <m:sty m:val="p"/>
          </m:rPr>
          <m:t>*</m:t>
        </m:r>
        <m:r>
          <m:rPr>
            <m:sty m:val="p"/>
          </m:rPr>
          <m:t>*</m:t>
        </m:r>
        <m:r>
          <m:rPr>
            <m:sty m:val="p"/>
          </m:rPr>
          <m:t>,</m:t>
        </m:r>
        <m:r>
          <m:t>b</m:t>
        </m:r>
        <m:r>
          <m:t>r</m:t>
        </m:r>
        <m:r>
          <m:t>o</m:t>
        </m:r>
        <m:r>
          <m:t>a</m:t>
        </m:r>
        <m:r>
          <m:t>d</m:t>
        </m:r>
        <m:r>
          <m:t>l</m:t>
        </m:r>
        <m:r>
          <m:t>y</m:t>
        </m:r>
        <m:r>
          <m:t>f</m:t>
        </m:r>
        <m:r>
          <m:t>l</m:t>
        </m:r>
        <m:r>
          <m:t>a</m:t>
        </m:r>
        <m:r>
          <m:t>t</m:t>
        </m:r>
        <m:r>
          <m:t>v</m:t>
        </m:r>
        <m:r>
          <m:t>e</m:t>
        </m:r>
        <m:r>
          <m:t>r</m:t>
        </m:r>
        <m:r>
          <m:t>s</m:t>
        </m:r>
        <m:r>
          <m:t>u</m:t>
        </m:r>
        <m:r>
          <m:t>s</m:t>
        </m:r>
        <m:r>
          <m:rPr>
            <m:sty m:val="p"/>
          </m:rPr>
          <m:t>*</m:t>
        </m:r>
        <m:r>
          <m:rPr>
            <m:sty m:val="p"/>
          </m:rPr>
          <m:t>*</m:t>
        </m:r>
      </m:oMath>
      <w:r>
        <w:rPr>
          <w:b/>
          <w:bCs/>
        </w:rPr>
        <w:t xml:space="preserve">103.39 on July 1</w:t>
      </w:r>
      <w:r>
        <w:t xml:space="preserve">. The lack of a major pre-print rally suggests the market is optimistic on the operating recovery but may still require proof that the recovery translates into durable earnings power.</w:t>
      </w:r>
    </w:p>
    <w:bookmarkEnd w:id="15"/>
    <w:bookmarkStart w:id="17" w:name="bottom-line"/>
    <w:p>
      <w:pPr>
        <w:pStyle w:val="Heading2"/>
      </w:pPr>
      <w:r>
        <w:t xml:space="preserve">Bottom line</w:t>
      </w:r>
    </w:p>
    <w:p>
      <w:pPr>
        <w:pStyle w:val="FirstParagraph"/>
      </w:pPr>
      <w:r>
        <w:t xml:space="preserve">The Q3 setup favors a constructive result: strong Q2 traffic, positive April commentary, an improved loyalty program, summer product momentum, and easier year-over-year comparisons all support the case for solid comps and EPS growth.</w:t>
      </w:r>
    </w:p>
    <w:p>
      <w:pPr>
        <w:pStyle w:val="BodyText"/>
      </w:pPr>
      <w:r>
        <w:t xml:space="preserve">But the hurdle is elevated. A favorable report needs to demonstrate three things:</w:t>
      </w:r>
    </w:p>
    <w:p>
      <w:pPr>
        <w:pStyle w:val="Compact"/>
        <w:numPr>
          <w:ilvl w:val="0"/>
          <w:numId w:val="1006"/>
        </w:numPr>
      </w:pPr>
      <w:r>
        <w:rPr>
          <w:b/>
          <w:bCs/>
        </w:rPr>
        <w:t xml:space="preserve">U.S. transaction-led comp momentum is holding near Q2 levels;</w:t>
      </w:r>
    </w:p>
    <w:p>
      <w:pPr>
        <w:pStyle w:val="Compact"/>
        <w:numPr>
          <w:ilvl w:val="0"/>
          <w:numId w:val="1006"/>
        </w:numPr>
      </w:pPr>
      <w:r>
        <w:rPr>
          <w:b/>
          <w:bCs/>
        </w:rPr>
        <w:t xml:space="preserve">North America margins are beginning to convert sales growth into earnings despite labor and commodity pressure; and</w:t>
      </w:r>
    </w:p>
    <w:p>
      <w:pPr>
        <w:pStyle w:val="Compact"/>
        <w:numPr>
          <w:ilvl w:val="0"/>
          <w:numId w:val="1006"/>
        </w:numPr>
      </w:pPr>
      <w:r>
        <w:rPr>
          <w:b/>
          <w:bCs/>
        </w:rPr>
        <w:t xml:space="preserve">China deconsolidation is explained cleanly enough that investors can see the underlying earnings benefit rather than get distracted by reported-revenue disruption.</w:t>
      </w:r>
    </w:p>
    <w:p>
      <w:pPr>
        <w:pStyle w:val="FirstParagraph"/>
      </w:pPr>
      <w:r>
        <w:t xml:space="preserve">The most bullish outcome would be a ~6% or better U.S./North America comp, credible North America margin improvement, an intact or improved FY2026 EPS outlook, and a transparent normalized bridge for China. The key downside risk is not necessarily a weak headline revenue number—China makes that metric structurally less useful—but a deceleration in U.S. traffic or insufficient flow-through from strong comps to profitability.</w:t>
      </w:r>
    </w:p>
    <w:p>
      <w:r>
        <w:pict>
          <v:rect style="width:0;height:1.5pt" o:hralign="center" o:hrstd="t" o:hr="t"/>
        </w:pict>
      </w:r>
    </w:p>
    <w:bookmarkStart w:id="16" w:name="sources-reviewed"/>
    <w:p>
      <w:pPr>
        <w:pStyle w:val="Heading3"/>
      </w:pPr>
      <w:r>
        <w:t xml:space="preserve">Sources reviewed</w:t>
      </w:r>
    </w:p>
    <w:p>
      <w:pPr>
        <w:pStyle w:val="Compact"/>
        <w:numPr>
          <w:ilvl w:val="0"/>
          <w:numId w:val="1007"/>
        </w:numPr>
      </w:pPr>
      <w:r>
        <w:t xml:space="preserve">Starbucks FY2026 Q2 earnings release and earnings-call transcript, April 28, 2026</w:t>
      </w:r>
    </w:p>
    <w:p>
      <w:pPr>
        <w:pStyle w:val="Compact"/>
        <w:numPr>
          <w:ilvl w:val="0"/>
          <w:numId w:val="1007"/>
        </w:numPr>
      </w:pPr>
      <w:r>
        <w:t xml:space="preserve">Starbucks FY2025 Q3 earnings release, July 29, 2025</w:t>
      </w:r>
    </w:p>
    <w:p>
      <w:pPr>
        <w:pStyle w:val="Compact"/>
        <w:numPr>
          <w:ilvl w:val="0"/>
          <w:numId w:val="1007"/>
        </w:numPr>
      </w:pPr>
      <w:r>
        <w:t xml:space="preserve">Starbucks China joint-venture disclosures and FY2026 restructuring 8-K</w:t>
      </w:r>
    </w:p>
    <w:p>
      <w:pPr>
        <w:pStyle w:val="Compact"/>
        <w:numPr>
          <w:ilvl w:val="0"/>
          <w:numId w:val="1007"/>
        </w:numPr>
      </w:pPr>
      <w:r>
        <w:t xml:space="preserve">Recent SBUX market-news digest and July 2026 share-price data</w:t>
      </w:r>
    </w:p>
    <w:bookmarkEnd w:id="16"/>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2026-07-29T01:13:19Z</dcterms:created>
  <dcterms:modified xsi:type="dcterms:W3CDTF">2026-07-29T01:13:19Z</dcterms:modified>
</cp:coreProperties>
</file>

<file path=docProps/custom.xml><?xml version="1.0" encoding="utf-8"?>
<Properties xmlns="http://schemas.openxmlformats.org/officeDocument/2006/custom-properties" xmlns:vt="http://schemas.openxmlformats.org/officeDocument/2006/docPropsVTypes"/>
</file>