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Starbucks Corporation (SBUX) — Q3 FY2026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Starbucks Corporation</w:t>
            </w:r>
          </w:p>
        </w:tc>
        <w:tc>
          <w:tcPr>
            <w:tcW w:type="dxa" w:w="2160"/>
          </w:tcPr>
          <w:p>
            <w:r>
              <w:rPr>
                <w:rFonts w:ascii="Calibri" w:hAnsi="Calibri"/>
                <w:b/>
                <w:sz w:val="22"/>
              </w:rPr>
              <w:t>Upcoming Earnings</w:t>
            </w:r>
          </w:p>
        </w:tc>
        <w:tc>
          <w:tcPr>
            <w:tcW w:type="dxa" w:w="2160"/>
          </w:tcPr>
          <w:p>
            <w:r>
              <w:rPr>
                <w:rFonts w:ascii="Calibri" w:hAnsi="Calibri"/>
                <w:sz w:val="22"/>
              </w:rPr>
              <w:t>Q3 FY2026 (Fiscal Quarter Ending June 30, 2026)</w:t>
            </w:r>
          </w:p>
        </w:tc>
      </w:tr>
      <w:tr>
        <w:tc>
          <w:tcPr>
            <w:tcW w:type="dxa" w:w="2160"/>
          </w:tcPr>
          <w:p>
            <w:r>
              <w:rPr>
                <w:rFonts w:ascii="Calibri" w:hAnsi="Calibri"/>
                <w:b/>
                <w:sz w:val="22"/>
              </w:rPr>
              <w:t>Ticker</w:t>
            </w:r>
          </w:p>
        </w:tc>
        <w:tc>
          <w:tcPr>
            <w:tcW w:type="dxa" w:w="2160"/>
          </w:tcPr>
          <w:p>
            <w:r>
              <w:rPr>
                <w:rFonts w:ascii="Calibri" w:hAnsi="Calibri"/>
                <w:sz w:val="22"/>
              </w:rPr>
              <w:t>SBUX US</w:t>
            </w:r>
          </w:p>
        </w:tc>
        <w:tc>
          <w:tcPr>
            <w:tcW w:type="dxa" w:w="2160"/>
          </w:tcPr>
          <w:p>
            <w:r>
              <w:rPr>
                <w:rFonts w:ascii="Calibri" w:hAnsi="Calibri"/>
                <w:b/>
                <w:sz w:val="22"/>
              </w:rPr>
              <w:t>Prepared Date</w:t>
            </w:r>
          </w:p>
        </w:tc>
        <w:tc>
          <w:tcPr>
            <w:tcW w:type="dxa" w:w="2160"/>
          </w:tcPr>
          <w:p>
            <w:r>
              <w:rPr>
                <w:rFonts w:ascii="Calibri" w:hAnsi="Calibri"/>
                <w:sz w:val="22"/>
              </w:rPr>
              <w:t>July 28, 2026</w:t>
            </w:r>
          </w:p>
        </w:tc>
      </w:tr>
      <w:tr>
        <w:tc>
          <w:tcPr>
            <w:tcW w:type="dxa" w:w="2160"/>
          </w:tcPr>
          <w:p>
            <w:r>
              <w:rPr>
                <w:rFonts w:ascii="Calibri" w:hAnsi="Calibri"/>
                <w:b/>
                <w:sz w:val="22"/>
              </w:rPr>
              <w:t>Sector</w:t>
            </w:r>
          </w:p>
        </w:tc>
        <w:tc>
          <w:tcPr>
            <w:tcW w:type="dxa" w:w="2160"/>
          </w:tcPr>
          <w:p>
            <w:r>
              <w:rPr>
                <w:rFonts w:ascii="Calibri" w:hAnsi="Calibri"/>
                <w:sz w:val="22"/>
              </w:rPr>
              <w:t>Consumer Discretionary / Restaurants</w:t>
            </w:r>
          </w:p>
        </w:tc>
        <w:tc>
          <w:tcPr>
            <w:tcW w:type="dxa" w:w="2160"/>
          </w:tcPr>
          <w:p>
            <w:r>
              <w:rPr>
                <w:rFonts w:ascii="Calibri" w:hAnsi="Calibri"/>
                <w:b/>
                <w:sz w:val="22"/>
              </w:rPr>
              <w:t>Last Earnings</w:t>
            </w:r>
          </w:p>
        </w:tc>
        <w:tc>
          <w:tcPr>
            <w:tcW w:type="dxa" w:w="2160"/>
          </w:tcPr>
          <w:p>
            <w:r>
              <w:rPr>
                <w:rFonts w:ascii="Calibri" w:hAnsi="Calibri"/>
                <w:sz w:val="22"/>
              </w:rPr>
              <w:t>April 28, 2026 (Q2 FY2026)</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Q3 FY2026 is constructively bullish — consensus is a low bar relative to the momentum management declared at Q2, and the single biggest swing factor is whether U.S. comparable store sales can sustain the 7%+ trajectory in a softening macro environment.</w:t>
      </w:r>
    </w:p>
    <w:p>
      <w:r>
        <w:rPr>
          <w:rFonts w:ascii="Calibri" w:hAnsi="Calibri"/>
          <w:color w:val="525866"/>
          <w:sz w:val="22"/>
        </w:rPr>
        <w:t xml:space="preserve">Starbucks heads into Q3 FY2026 on the strongest operational footing it has seen in over two years, having declared Q2 "the turn in our turnaround" with U.S. comps accelerating to +7.1% (vs. consensus of ~+4%) and non-GAAP EPS of $0.50 growing ~22% year-over-year for the first time since FY2024. </w:t>
      </w:r>
      <w:r>
        <w:rPr>
          <w:rFonts w:ascii="Calibri" w:hAnsi="Calibri"/>
          <w:color w:val="525866"/>
          <w:sz w:val="22"/>
        </w:rPr>
        <w:t>Consensus for Q3 sits at +6.2% U.S. comps and $0.65 EPS — a bar that looks achievable given management raised full-year comp guidance to "5% or better" and confirmed positive trends continued through April; the bar is low, not high.</w:t>
      </w:r>
      <w:r>
        <w:rPr>
          <w:rFonts w:ascii="Calibri" w:hAnsi="Calibri"/>
          <w:color w:val="525866"/>
          <w:sz w:val="22"/>
        </w:rPr>
        <w:t xml:space="preserve"> Management tone has shifted decisively from cautious to confident: at the May Bernstein and June Evercore conferences, the CFO confirmed cost savings visibility has risen above the previously disclosed $800M figure and continues to climb, while the CEO stated a clear path to the full $2B target within 12–18 months — a meaningful acceleration from prior framing.</w:t>
      </w:r>
      <w:r>
        <w:rPr>
          <w:rFonts w:ascii="Calibri" w:hAnsi="Calibri"/>
          <w:color w:val="525866"/>
          <w:sz w:val="22"/>
        </w:rPr>
        <w:t xml:space="preserve"> Estimate revisions have moved in the right direction since the Q2 print, with Q3 EPS consensus rising from $0.65 to $0.65 (stable) and FY2026 EPS consensus at $2.40 vs. guidance midpoint of $2.35, suggesting the Street is already pricing in modest upside.</w:t>
      </w:r>
      <w:r>
        <w:rPr>
          <w:rFonts w:ascii="Calibri" w:hAnsi="Calibri"/>
          <w:color w:val="525866"/>
          <w:sz w:val="22"/>
        </w:rPr>
        <w:t xml:space="preserve"> The stock has gained ~6% since the Q2 earnings date vs. S&amp;P 500 +4% but has underperformed XLY peers, trading in the high-20s forward P/E — a multiple that prices in continued turnaround execution but leaves room for multiple expansion if margins inflect.</w:t>
      </w:r>
      <w:r>
        <w:rPr>
          <w:rFonts w:ascii="Calibri" w:hAnsi="Calibri"/>
          <w:color w:val="525866"/>
          <w:sz w:val="22"/>
        </w:rPr>
        <w:t xml:space="preserve"> The key wildcard is the China JV deconsolidation: starting Q3, China revenues are removed from consolidated financials (expected to be &lt;20% of prior reported China revenues), which will mechanically depress reported revenue but is EPS-neutral — any confusion around the revenue miss vs. the underlying comp trajectory could create a buying opportunity.</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 xml:space="preserve">Consensus is a low bar on comps — the Street models +6.2% U.S. SSS vs. the +7.1% Q2 print, implying deceleration that management's tone does not support. </w:t>
      </w:r>
      <w:r>
        <w:rPr>
          <w:rFonts w:ascii="Calibri" w:hAnsi="Calibri"/>
          <w:color w:val="525866"/>
          <w:sz w:val="22"/>
        </w:rPr>
        <w:t>EPS is the bigger swing factor: North America margin recovery pace (vs. ongoing coffee cost and tariff headwinds) will determine whether the $0.65 consensus is a floor or a ceiling.</w:t>
      </w:r>
    </w:p>
    <w:p>
      <w:pPr>
        <w:pStyle w:val="Heading3"/>
      </w:pPr>
      <w:r>
        <w:rPr>
          <w:rFonts w:ascii="Calibri" w:hAnsi="Calibri"/>
          <w:b/>
          <w:color w:val="3B4259"/>
          <w:sz w:val="24"/>
        </w:rPr>
        <w:t>Table 1 — Q3 FY2026 Current Quarter Snapshot</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Last Quarter Actual (Q2 FY26)</w:t>
            </w:r>
          </w:p>
        </w:tc>
        <w:tc>
          <w:tcPr>
            <w:tcW w:type="dxa" w:w="1234"/>
            <w:shd w:val="clear" w:color="auto" w:fill="3B4259"/>
          </w:tcPr>
          <w:p>
            <w:r>
              <w:rPr>
                <w:rFonts w:ascii="Calibri" w:hAnsi="Calibri"/>
                <w:b/>
                <w:color w:val="FFFFFF"/>
                <w:sz w:val="22"/>
              </w:rPr>
              <w:t>Prior Year Period (Q3 FY25 Actual)</w:t>
            </w:r>
          </w:p>
        </w:tc>
        <w:tc>
          <w:tcPr>
            <w:tcW w:type="dxa" w:w="1234"/>
            <w:shd w:val="clear" w:color="auto" w:fill="3B4259"/>
          </w:tcPr>
          <w:p>
            <w:r>
              <w:rPr>
                <w:rFonts w:ascii="Calibri" w:hAnsi="Calibri"/>
                <w:b/>
                <w:color w:val="FFFFFF"/>
                <w:sz w:val="22"/>
              </w:rPr>
              <w:t>Q3 FY26 Consensus Estimate</w:t>
            </w:r>
          </w:p>
        </w:tc>
        <w:tc>
          <w:tcPr>
            <w:tcW w:type="dxa" w:w="1234"/>
            <w:shd w:val="clear" w:color="auto" w:fill="3B4259"/>
          </w:tcPr>
          <w:p>
            <w:r>
              <w:rPr>
                <w:rFonts w:ascii="Calibri" w:hAnsi="Calibri"/>
                <w:b/>
                <w:color w:val="FFFFFF"/>
                <w:sz w:val="22"/>
              </w:rPr>
              <w:t>YoY Change (Est. vs. PY)</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Net Revenues ($B)</w:t>
            </w:r>
          </w:p>
        </w:tc>
        <w:tc>
          <w:tcPr>
            <w:tcW w:type="dxa" w:w="1234"/>
          </w:tcPr>
          <w:p>
            <w:r>
              <w:rPr>
                <w:rFonts w:ascii="Calibri" w:hAnsi="Calibri"/>
                <w:sz w:val="22"/>
              </w:rPr>
              <w:t>$9.53B</w:t>
            </w:r>
          </w:p>
        </w:tc>
        <w:tc>
          <w:tcPr>
            <w:tcW w:type="dxa" w:w="1234"/>
          </w:tcPr>
          <w:p>
            <w:r>
              <w:rPr>
                <w:rFonts w:ascii="Calibri" w:hAnsi="Calibri"/>
                <w:sz w:val="22"/>
              </w:rPr>
              <w:t>$9.46B</w:t>
            </w:r>
          </w:p>
        </w:tc>
        <w:tc>
          <w:tcPr>
            <w:tcW w:type="dxa" w:w="1234"/>
          </w:tcPr>
          <w:p>
            <w:r>
              <w:rPr>
                <w:rFonts w:ascii="Calibri" w:hAnsi="Calibri"/>
                <w:sz w:val="22"/>
              </w:rPr>
              <w:t>$9.17B</w:t>
            </w:r>
          </w:p>
        </w:tc>
        <w:tc>
          <w:tcPr>
            <w:tcW w:type="dxa" w:w="1234"/>
          </w:tcPr>
          <w:p>
            <w:r>
              <w:rPr>
                <w:rFonts w:ascii="Calibri" w:hAnsi="Calibri"/>
                <w:sz w:val="22"/>
              </w:rPr>
              <w:t>-3.1%</w:t>
            </w:r>
          </w:p>
        </w:tc>
        <w:tc>
          <w:tcPr>
            <w:tcW w:type="dxa" w:w="1234"/>
          </w:tcPr>
          <w:p>
            <w:r>
              <w:rPr>
                <w:rFonts w:ascii="Calibri" w:hAnsi="Calibri"/>
                <w:sz w:val="22"/>
              </w:rPr>
              <w:t>Roughly flat YoY (China JV deconsolidation impact)</w:t>
            </w:r>
          </w:p>
        </w:tc>
        <w:tc>
          <w:tcPr>
            <w:tcW w:type="dxa" w:w="1234"/>
          </w:tcPr>
          <w:p>
            <w:r>
              <w:rPr>
                <w:rFonts w:ascii="Calibri" w:hAnsi="Calibri"/>
                <w:sz w:val="22"/>
              </w:rPr>
              <w:t>In line (China deconsolidation explains decline)</w:t>
            </w:r>
          </w:p>
        </w:tc>
      </w:tr>
      <w:tr>
        <w:tc>
          <w:tcPr>
            <w:tcW w:type="dxa" w:w="1234"/>
          </w:tcPr>
          <w:p>
            <w:r>
              <w:rPr>
                <w:rFonts w:ascii="Calibri" w:hAnsi="Calibri"/>
                <w:sz w:val="22"/>
              </w:rPr>
              <w:t>U.S. Same-Store Sales Growth (%)</w:t>
            </w:r>
          </w:p>
        </w:tc>
        <w:tc>
          <w:tcPr>
            <w:tcW w:type="dxa" w:w="1234"/>
          </w:tcPr>
          <w:p>
            <w:r>
              <w:rPr>
                <w:rFonts w:ascii="Calibri" w:hAnsi="Calibri"/>
                <w:sz w:val="22"/>
              </w:rPr>
              <w:t>+7.1%</w:t>
            </w:r>
          </w:p>
        </w:tc>
        <w:tc>
          <w:tcPr>
            <w:tcW w:type="dxa" w:w="1234"/>
          </w:tcPr>
          <w:p>
            <w:r>
              <w:rPr>
                <w:rFonts w:ascii="Calibri" w:hAnsi="Calibri"/>
                <w:sz w:val="22"/>
              </w:rPr>
              <w:t>-2.0%</w:t>
            </w:r>
          </w:p>
        </w:tc>
        <w:tc>
          <w:tcPr>
            <w:tcW w:type="dxa" w:w="1234"/>
          </w:tcPr>
          <w:p>
            <w:r>
              <w:rPr>
                <w:rFonts w:ascii="Calibri" w:hAnsi="Calibri"/>
                <w:sz w:val="22"/>
              </w:rPr>
              <w:t>+5.8%</w:t>
            </w:r>
          </w:p>
        </w:tc>
        <w:tc>
          <w:tcPr>
            <w:tcW w:type="dxa" w:w="1234"/>
          </w:tcPr>
          <w:p>
            <w:r>
              <w:rPr>
                <w:rFonts w:ascii="Calibri" w:hAnsi="Calibri"/>
                <w:sz w:val="22"/>
              </w:rPr>
              <w:t>+780 bps</w:t>
            </w:r>
          </w:p>
        </w:tc>
        <w:tc>
          <w:tcPr>
            <w:tcW w:type="dxa" w:w="1234"/>
          </w:tcPr>
          <w:p>
            <w:r>
              <w:rPr>
                <w:rFonts w:ascii="Calibri" w:hAnsi="Calibri"/>
                <w:sz w:val="22"/>
              </w:rPr>
              <w:t>5% or better (FY26 guide)</w:t>
            </w:r>
          </w:p>
        </w:tc>
        <w:tc>
          <w:tcPr>
            <w:tcW w:type="dxa" w:w="1234"/>
          </w:tcPr>
          <w:p>
            <w:r>
              <w:rPr>
                <w:rFonts w:ascii="Calibri" w:hAnsi="Calibri"/>
                <w:sz w:val="22"/>
              </w:rPr>
              <w:t>Slightly above guidance floor</w:t>
            </w:r>
          </w:p>
        </w:tc>
      </w:tr>
      <w:tr>
        <w:tc>
          <w:tcPr>
            <w:tcW w:type="dxa" w:w="1234"/>
          </w:tcPr>
          <w:p>
            <w:r>
              <w:rPr>
                <w:rFonts w:ascii="Calibri" w:hAnsi="Calibri"/>
                <w:sz w:val="22"/>
              </w:rPr>
              <w:t>North America SSS (%)</w:t>
            </w:r>
          </w:p>
        </w:tc>
        <w:tc>
          <w:tcPr>
            <w:tcW w:type="dxa" w:w="1234"/>
          </w:tcPr>
          <w:p>
            <w:r>
              <w:rPr>
                <w:rFonts w:ascii="Calibri" w:hAnsi="Calibri"/>
                <w:sz w:val="22"/>
              </w:rPr>
              <w:t>+7.1%</w:t>
            </w:r>
          </w:p>
        </w:tc>
        <w:tc>
          <w:tcPr>
            <w:tcW w:type="dxa" w:w="1234"/>
          </w:tcPr>
          <w:p>
            <w:r>
              <w:rPr>
                <w:rFonts w:ascii="Calibri" w:hAnsi="Calibri"/>
                <w:sz w:val="22"/>
              </w:rPr>
              <w:t>-2.0%</w:t>
            </w:r>
          </w:p>
        </w:tc>
        <w:tc>
          <w:tcPr>
            <w:tcW w:type="dxa" w:w="1234"/>
          </w:tcPr>
          <w:p>
            <w:r>
              <w:rPr>
                <w:rFonts w:ascii="Calibri" w:hAnsi="Calibri"/>
                <w:sz w:val="22"/>
              </w:rPr>
              <w:t>+6.2%</w:t>
            </w:r>
          </w:p>
        </w:tc>
        <w:tc>
          <w:tcPr>
            <w:tcW w:type="dxa" w:w="1234"/>
          </w:tcPr>
          <w:p>
            <w:r>
              <w:rPr>
                <w:rFonts w:ascii="Calibri" w:hAnsi="Calibri"/>
                <w:sz w:val="22"/>
              </w:rPr>
              <w:t>+820 bps</w:t>
            </w:r>
          </w:p>
        </w:tc>
        <w:tc>
          <w:tcPr>
            <w:tcW w:type="dxa" w:w="1234"/>
          </w:tcPr>
          <w:p>
            <w:r>
              <w:rPr>
                <w:rFonts w:ascii="Calibri" w:hAnsi="Calibri"/>
                <w:sz w:val="22"/>
              </w:rPr>
              <w:t>5% or better (FY26 guide)</w:t>
            </w:r>
          </w:p>
        </w:tc>
        <w:tc>
          <w:tcPr>
            <w:tcW w:type="dxa" w:w="1234"/>
          </w:tcPr>
          <w:p>
            <w:r>
              <w:rPr>
                <w:rFonts w:ascii="Calibri" w:hAnsi="Calibri"/>
                <w:sz w:val="22"/>
              </w:rPr>
              <w:t>Above guidance floor</w:t>
            </w:r>
          </w:p>
        </w:tc>
      </w:tr>
      <w:tr>
        <w:tc>
          <w:tcPr>
            <w:tcW w:type="dxa" w:w="1234"/>
          </w:tcPr>
          <w:p>
            <w:r>
              <w:rPr>
                <w:rFonts w:ascii="Calibri" w:hAnsi="Calibri"/>
                <w:sz w:val="22"/>
              </w:rPr>
              <w:t>U.S. SSS — Transaction Growth (%)</w:t>
            </w:r>
          </w:p>
        </w:tc>
        <w:tc>
          <w:tcPr>
            <w:tcW w:type="dxa" w:w="1234"/>
          </w:tcPr>
          <w:p>
            <w:r>
              <w:rPr>
                <w:rFonts w:ascii="Calibri" w:hAnsi="Calibri"/>
                <w:sz w:val="22"/>
              </w:rPr>
              <w:t>+4.3%</w:t>
            </w:r>
          </w:p>
        </w:tc>
        <w:tc>
          <w:tcPr>
            <w:tcW w:type="dxa" w:w="1234"/>
          </w:tcPr>
          <w:p>
            <w:r>
              <w:rPr>
                <w:rFonts w:ascii="Calibri" w:hAnsi="Calibri"/>
                <w:sz w:val="22"/>
              </w:rPr>
              <w:t>-4.0%</w:t>
            </w:r>
          </w:p>
        </w:tc>
        <w:tc>
          <w:tcPr>
            <w:tcW w:type="dxa" w:w="1234"/>
          </w:tcPr>
          <w:p>
            <w:r>
              <w:rPr>
                <w:rFonts w:ascii="Calibri" w:hAnsi="Calibri"/>
                <w:sz w:val="22"/>
              </w:rPr>
              <w:t>+3.8%</w:t>
            </w:r>
          </w:p>
        </w:tc>
        <w:tc>
          <w:tcPr>
            <w:tcW w:type="dxa" w:w="1234"/>
          </w:tcPr>
          <w:p>
            <w:r>
              <w:rPr>
                <w:rFonts w:ascii="Calibri" w:hAnsi="Calibri"/>
                <w:sz w:val="22"/>
              </w:rPr>
              <w:t>+780 bps</w:t>
            </w:r>
          </w:p>
        </w:tc>
        <w:tc>
          <w:tcPr>
            <w:tcW w:type="dxa" w:w="1234"/>
          </w:tcPr>
          <w:p>
            <w:r>
              <w:rPr>
                <w:rFonts w:ascii="Calibri" w:hAnsi="Calibri"/>
                <w:sz w:val="22"/>
              </w:rPr>
              <w:t>Positive transactions (FY26 goal)</w:t>
            </w:r>
          </w:p>
        </w:tc>
        <w:tc>
          <w:tcPr>
            <w:tcW w:type="dxa" w:w="1234"/>
          </w:tcPr>
          <w:p>
            <w:r>
              <w:rPr>
                <w:rFonts w:ascii="Calibri" w:hAnsi="Calibri"/>
                <w:sz w:val="22"/>
              </w:rPr>
              <w:t>On track</w:t>
            </w:r>
          </w:p>
        </w:tc>
      </w:tr>
      <w:tr>
        <w:tc>
          <w:tcPr>
            <w:tcW w:type="dxa" w:w="1234"/>
          </w:tcPr>
          <w:p>
            <w:r>
              <w:rPr>
                <w:rFonts w:ascii="Calibri" w:hAnsi="Calibri"/>
                <w:sz w:val="22"/>
              </w:rPr>
              <w:t>U.S. SSS — Ticket Growth (%)</w:t>
            </w:r>
          </w:p>
        </w:tc>
        <w:tc>
          <w:tcPr>
            <w:tcW w:type="dxa" w:w="1234"/>
          </w:tcPr>
          <w:p>
            <w:r>
              <w:rPr>
                <w:rFonts w:ascii="Calibri" w:hAnsi="Calibri"/>
                <w:sz w:val="22"/>
              </w:rPr>
              <w:t>+2.7%</w:t>
            </w:r>
          </w:p>
        </w:tc>
        <w:tc>
          <w:tcPr>
            <w:tcW w:type="dxa" w:w="1234"/>
          </w:tcPr>
          <w:p>
            <w:r>
              <w:rPr>
                <w:rFonts w:ascii="Calibri" w:hAnsi="Calibri"/>
                <w:sz w:val="22"/>
              </w:rPr>
              <w:t>+2.0%</w:t>
            </w:r>
          </w:p>
        </w:tc>
        <w:tc>
          <w:tcPr>
            <w:tcW w:type="dxa" w:w="1234"/>
          </w:tcPr>
          <w:p>
            <w:r>
              <w:rPr>
                <w:rFonts w:ascii="Calibri" w:hAnsi="Calibri"/>
                <w:sz w:val="22"/>
              </w:rPr>
              <w:t>+2.3%</w:t>
            </w:r>
          </w:p>
        </w:tc>
        <w:tc>
          <w:tcPr>
            <w:tcW w:type="dxa" w:w="1234"/>
          </w:tcPr>
          <w:p>
            <w:r>
              <w:rPr>
                <w:rFonts w:ascii="Calibri" w:hAnsi="Calibri"/>
                <w:sz w:val="22"/>
              </w:rPr>
              <w:t>+30 bps</w:t>
            </w:r>
          </w:p>
        </w:tc>
        <w:tc>
          <w:tcPr>
            <w:tcW w:type="dxa" w:w="1234"/>
          </w:tcPr>
          <w:p>
            <w:r>
              <w:rPr>
                <w:rFonts w:ascii="Calibri" w:hAnsi="Calibri"/>
                <w:sz w:val="22"/>
              </w:rPr>
              <w:t>N/A (not separately guided)</w:t>
            </w:r>
          </w:p>
        </w:tc>
        <w:tc>
          <w:tcPr>
            <w:tcW w:type="dxa" w:w="1234"/>
          </w:tcPr>
          <w:p>
            <w:r>
              <w:rPr>
                <w:rFonts w:ascii="Calibri" w:hAnsi="Calibri"/>
                <w:sz w:val="22"/>
              </w:rPr>
              <w:t>N/A</w:t>
            </w:r>
          </w:p>
        </w:tc>
      </w:tr>
      <w:tr>
        <w:tc>
          <w:tcPr>
            <w:tcW w:type="dxa" w:w="1234"/>
          </w:tcPr>
          <w:p>
            <w:r>
              <w:rPr>
                <w:rFonts w:ascii="Calibri" w:hAnsi="Calibri"/>
                <w:sz w:val="22"/>
              </w:rPr>
              <w:t>Non-GAAP EPS (Diluted Operating)</w:t>
            </w:r>
          </w:p>
        </w:tc>
        <w:tc>
          <w:tcPr>
            <w:tcW w:type="dxa" w:w="1234"/>
          </w:tcPr>
          <w:p>
            <w:r>
              <w:rPr>
                <w:rFonts w:ascii="Calibri" w:hAnsi="Calibri"/>
                <w:sz w:val="22"/>
              </w:rPr>
              <w:t>$0.50</w:t>
            </w:r>
          </w:p>
        </w:tc>
        <w:tc>
          <w:tcPr>
            <w:tcW w:type="dxa" w:w="1234"/>
          </w:tcPr>
          <w:p>
            <w:r>
              <w:rPr>
                <w:rFonts w:ascii="Calibri" w:hAnsi="Calibri"/>
                <w:sz w:val="22"/>
              </w:rPr>
              <w:t>$0.498</w:t>
            </w:r>
          </w:p>
        </w:tc>
        <w:tc>
          <w:tcPr>
            <w:tcW w:type="dxa" w:w="1234"/>
          </w:tcPr>
          <w:p>
            <w:r>
              <w:rPr>
                <w:rFonts w:ascii="Calibri" w:hAnsi="Calibri"/>
                <w:sz w:val="22"/>
              </w:rPr>
              <w:t>$0.65</w:t>
            </w:r>
          </w:p>
        </w:tc>
        <w:tc>
          <w:tcPr>
            <w:tcW w:type="dxa" w:w="1234"/>
          </w:tcPr>
          <w:p>
            <w:r>
              <w:rPr>
                <w:rFonts w:ascii="Calibri" w:hAnsi="Calibri"/>
                <w:sz w:val="22"/>
              </w:rPr>
              <w:t>+30.5%</w:t>
            </w:r>
          </w:p>
        </w:tc>
        <w:tc>
          <w:tcPr>
            <w:tcW w:type="dxa" w:w="1234"/>
          </w:tcPr>
          <w:p>
            <w:r>
              <w:rPr>
                <w:rFonts w:ascii="Calibri" w:hAnsi="Calibri"/>
                <w:sz w:val="22"/>
              </w:rPr>
              <w:t>$2.25–$2.45 FY26 (midpoint $2.35)</w:t>
            </w:r>
          </w:p>
        </w:tc>
        <w:tc>
          <w:tcPr>
            <w:tcW w:type="dxa" w:w="1234"/>
          </w:tcPr>
          <w:p>
            <w:r>
              <w:rPr>
                <w:rFonts w:ascii="Calibri" w:hAnsi="Calibri"/>
                <w:sz w:val="22"/>
              </w:rPr>
              <w:t>~+2% above midpoint run-rate</w:t>
            </w:r>
          </w:p>
        </w:tc>
      </w:tr>
      <w:tr>
        <w:tc>
          <w:tcPr>
            <w:tcW w:type="dxa" w:w="1234"/>
          </w:tcPr>
          <w:p>
            <w:r>
              <w:rPr>
                <w:rFonts w:ascii="Calibri" w:hAnsi="Calibri"/>
                <w:sz w:val="22"/>
              </w:rPr>
              <w:t>North America Operating Income ($B)</w:t>
            </w:r>
          </w:p>
        </w:tc>
        <w:tc>
          <w:tcPr>
            <w:tcW w:type="dxa" w:w="1234"/>
          </w:tcPr>
          <w:p>
            <w:r>
              <w:rPr>
                <w:rFonts w:ascii="Calibri" w:hAnsi="Calibri"/>
                <w:sz w:val="22"/>
              </w:rPr>
              <w:t>$0.680B</w:t>
            </w:r>
          </w:p>
        </w:tc>
        <w:tc>
          <w:tcPr>
            <w:tcW w:type="dxa" w:w="1234"/>
          </w:tcPr>
          <w:p>
            <w:r>
              <w:rPr>
                <w:rFonts w:ascii="Calibri" w:hAnsi="Calibri"/>
                <w:sz w:val="22"/>
              </w:rPr>
              <w:t>$0.919B</w:t>
            </w:r>
          </w:p>
        </w:tc>
        <w:tc>
          <w:tcPr>
            <w:tcW w:type="dxa" w:w="1234"/>
          </w:tcPr>
          <w:p>
            <w:r>
              <w:rPr>
                <w:rFonts w:ascii="Calibri" w:hAnsi="Calibri"/>
                <w:sz w:val="22"/>
              </w:rPr>
              <w:t>$0.956B</w:t>
            </w:r>
          </w:p>
        </w:tc>
        <w:tc>
          <w:tcPr>
            <w:tcW w:type="dxa" w:w="1234"/>
          </w:tcPr>
          <w:p>
            <w:r>
              <w:rPr>
                <w:rFonts w:ascii="Calibri" w:hAnsi="Calibri"/>
                <w:sz w:val="22"/>
              </w:rPr>
              <w:t>+4.0%</w:t>
            </w:r>
          </w:p>
        </w:tc>
        <w:tc>
          <w:tcPr>
            <w:tcW w:type="dxa" w:w="1234"/>
          </w:tcPr>
          <w:p>
            <w:r>
              <w:rPr>
                <w:rFonts w:ascii="Calibri" w:hAnsi="Calibri"/>
                <w:sz w:val="22"/>
              </w:rPr>
              <w:t>Slight YoY margin expansion (FY26 guide)</w:t>
            </w:r>
          </w:p>
        </w:tc>
        <w:tc>
          <w:tcPr>
            <w:tcW w:type="dxa" w:w="1234"/>
          </w:tcPr>
          <w:p>
            <w:r>
              <w:rPr>
                <w:rFonts w:ascii="Calibri" w:hAnsi="Calibri"/>
                <w:sz w:val="22"/>
              </w:rPr>
              <w:t>In line with recovery path</w:t>
            </w:r>
          </w:p>
        </w:tc>
      </w:tr>
      <w:tr>
        <w:tc>
          <w:tcPr>
            <w:tcW w:type="dxa" w:w="1234"/>
          </w:tcPr>
          <w:p>
            <w:r>
              <w:rPr>
                <w:rFonts w:ascii="Calibri" w:hAnsi="Calibri"/>
                <w:sz w:val="22"/>
              </w:rPr>
              <w:t>Consolidated Operating Income — Operating ($B)</w:t>
            </w:r>
          </w:p>
        </w:tc>
        <w:tc>
          <w:tcPr>
            <w:tcW w:type="dxa" w:w="1234"/>
          </w:tcPr>
          <w:p>
            <w:r>
              <w:rPr>
                <w:rFonts w:ascii="Calibri" w:hAnsi="Calibri"/>
                <w:sz w:val="22"/>
              </w:rPr>
              <w:t>$0.892B</w:t>
            </w:r>
          </w:p>
        </w:tc>
        <w:tc>
          <w:tcPr>
            <w:tcW w:type="dxa" w:w="1234"/>
          </w:tcPr>
          <w:p>
            <w:r>
              <w:rPr>
                <w:rFonts w:ascii="Calibri" w:hAnsi="Calibri"/>
                <w:sz w:val="22"/>
              </w:rPr>
              <w:t>$0.956B</w:t>
            </w:r>
          </w:p>
        </w:tc>
        <w:tc>
          <w:tcPr>
            <w:tcW w:type="dxa" w:w="1234"/>
          </w:tcPr>
          <w:p>
            <w:r>
              <w:rPr>
                <w:rFonts w:ascii="Calibri" w:hAnsi="Calibri"/>
                <w:sz w:val="22"/>
              </w:rPr>
              <w:t>$1.098B</w:t>
            </w:r>
          </w:p>
        </w:tc>
        <w:tc>
          <w:tcPr>
            <w:tcW w:type="dxa" w:w="1234"/>
          </w:tcPr>
          <w:p>
            <w:r>
              <w:rPr>
                <w:rFonts w:ascii="Calibri" w:hAnsi="Calibri"/>
                <w:sz w:val="22"/>
              </w:rPr>
              <w:t>+14.8%</w:t>
            </w:r>
          </w:p>
        </w:tc>
        <w:tc>
          <w:tcPr>
            <w:tcW w:type="dxa" w:w="1234"/>
          </w:tcPr>
          <w:p>
            <w:r>
              <w:rPr>
                <w:rFonts w:ascii="Calibri" w:hAnsi="Calibri"/>
                <w:sz w:val="22"/>
              </w:rPr>
              <w:t>Slight YoY margin expansion (FY26 guide)</w:t>
            </w:r>
          </w:p>
        </w:tc>
        <w:tc>
          <w:tcPr>
            <w:tcW w:type="dxa" w:w="1234"/>
          </w:tcPr>
          <w:p>
            <w:r>
              <w:rPr>
                <w:rFonts w:ascii="Calibri" w:hAnsi="Calibri"/>
                <w:sz w:val="22"/>
              </w:rPr>
              <w:t>Above guidance trajectory</w:t>
            </w:r>
          </w:p>
        </w:tc>
      </w:tr>
      <w:tr>
        <w:tc>
          <w:tcPr>
            <w:tcW w:type="dxa" w:w="1234"/>
          </w:tcPr>
          <w:p>
            <w:r>
              <w:rPr>
                <w:rFonts w:ascii="Calibri" w:hAnsi="Calibri"/>
                <w:sz w:val="22"/>
              </w:rPr>
              <w:t>Total Stores (#)</w:t>
            </w:r>
          </w:p>
        </w:tc>
        <w:tc>
          <w:tcPr>
            <w:tcW w:type="dxa" w:w="1234"/>
          </w:tcPr>
          <w:p>
            <w:r>
              <w:rPr>
                <w:rFonts w:ascii="Calibri" w:hAnsi="Calibri"/>
                <w:sz w:val="22"/>
              </w:rPr>
              <w:t>41,129</w:t>
            </w:r>
          </w:p>
        </w:tc>
        <w:tc>
          <w:tcPr>
            <w:tcW w:type="dxa" w:w="1234"/>
          </w:tcPr>
          <w:p>
            <w:r>
              <w:rPr>
                <w:rFonts w:ascii="Calibri" w:hAnsi="Calibri"/>
                <w:sz w:val="22"/>
              </w:rPr>
              <w:t>41,097</w:t>
            </w:r>
          </w:p>
        </w:tc>
        <w:tc>
          <w:tcPr>
            <w:tcW w:type="dxa" w:w="1234"/>
          </w:tcPr>
          <w:p>
            <w:r>
              <w:rPr>
                <w:rFonts w:ascii="Calibri" w:hAnsi="Calibri"/>
                <w:sz w:val="22"/>
              </w:rPr>
              <w:t>40,952</w:t>
            </w:r>
          </w:p>
        </w:tc>
        <w:tc>
          <w:tcPr>
            <w:tcW w:type="dxa" w:w="1234"/>
          </w:tcPr>
          <w:p>
            <w:r>
              <w:rPr>
                <w:rFonts w:ascii="Calibri" w:hAnsi="Calibri"/>
                <w:sz w:val="22"/>
              </w:rPr>
              <w:t>-0.4%</w:t>
            </w:r>
          </w:p>
        </w:tc>
        <w:tc>
          <w:tcPr>
            <w:tcW w:type="dxa" w:w="1234"/>
          </w:tcPr>
          <w:p>
            <w:r>
              <w:rPr>
                <w:rFonts w:ascii="Calibri" w:hAnsi="Calibri"/>
                <w:sz w:val="22"/>
              </w:rPr>
              <w:t>600–650 net new FY26</w:t>
            </w:r>
          </w:p>
        </w:tc>
        <w:tc>
          <w:tcPr>
            <w:tcW w:type="dxa" w:w="1234"/>
          </w:tcPr>
          <w:p>
            <w:r>
              <w:rPr>
                <w:rFonts w:ascii="Calibri" w:hAnsi="Calibri"/>
                <w:sz w:val="22"/>
              </w:rPr>
              <w:t>Reflects China JV deconsolidation</w:t>
            </w:r>
          </w:p>
        </w:tc>
      </w:tr>
    </w:tbl>
    <w:p>
      <w:r>
        <w:rPr>
          <w:rFonts w:ascii="Calibri" w:hAnsi="Calibri"/>
          <w:b/>
          <w:color w:val="525866"/>
          <w:sz w:val="22"/>
        </w:rPr>
        <w:t xml:space="preserve">Note: </w:t>
      </w:r>
      <w:r>
        <w:rPr>
          <w:rFonts w:ascii="Calibri" w:hAnsi="Calibri"/>
          <w:color w:val="525866"/>
          <w:sz w:val="22"/>
        </w:rPr>
        <w:t>Revenue decline vs. prior year is structural (China JV deconsolidation removes ~80%+ of China revenues from consolidated reporting starting Q3 FY2026) and is EPS-neutral per management guidance. All consensus figures sourced from Visible Alpha.</w:t>
      </w:r>
    </w:p>
    <w:p>
      <w:pPr>
        <w:pStyle w:val="Heading3"/>
      </w:pPr>
      <w:r>
        <w:rPr>
          <w:rFonts w:ascii="Calibri" w:hAnsi="Calibri"/>
          <w:b/>
          <w:color w:val="3B4259"/>
          <w:sz w:val="24"/>
        </w:rPr>
        <w:t>Table 2 — Beat/Miss History (Last 8 Quarters, Top 2 KPIs)</w:t>
      </w:r>
    </w:p>
    <w:p>
      <w:r>
        <w:rPr>
          <w:rFonts w:ascii="Calibri" w:hAnsi="Calibri"/>
          <w:b/>
          <w:i/>
          <w:color w:val="525866"/>
          <w:sz w:val="22"/>
        </w:rPr>
        <w:t>KPI 1: U.S. Same-Store Sales Growth (%) | KPI 2: Non-GAAP Diluted EPS ($)</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Q3 FY2024</w:t>
            </w:r>
          </w:p>
        </w:tc>
        <w:tc>
          <w:tcPr>
            <w:tcW w:type="dxa" w:w="1440"/>
          </w:tcPr>
          <w:p>
            <w:r>
              <w:rPr>
                <w:rFonts w:ascii="Calibri" w:hAnsi="Calibri"/>
                <w:sz w:val="22"/>
              </w:rPr>
              <w:t>U.S. SSS</w:t>
            </w:r>
          </w:p>
        </w:tc>
        <w:tc>
          <w:tcPr>
            <w:tcW w:type="dxa" w:w="1440"/>
          </w:tcPr>
          <w:p>
            <w:r>
              <w:rPr>
                <w:rFonts w:ascii="Calibri" w:hAnsi="Calibri"/>
                <w:sz w:val="22"/>
              </w:rPr>
              <w:t>-2.0%</w:t>
            </w:r>
          </w:p>
        </w:tc>
        <w:tc>
          <w:tcPr>
            <w:tcW w:type="dxa" w:w="1440"/>
          </w:tcPr>
          <w:p>
            <w:r>
              <w:rPr>
                <w:rFonts w:ascii="Calibri" w:hAnsi="Calibri"/>
                <w:sz w:val="22"/>
              </w:rPr>
              <w:t>-0.75%</w:t>
            </w:r>
          </w:p>
        </w:tc>
        <w:tc>
          <w:tcPr>
            <w:tcW w:type="dxa" w:w="1440"/>
          </w:tcPr>
          <w:p>
            <w:r>
              <w:rPr>
                <w:rFonts w:ascii="Calibri" w:hAnsi="Calibri"/>
                <w:sz w:val="22"/>
              </w:rPr>
              <w:t>-125 bps</w:t>
            </w:r>
          </w:p>
        </w:tc>
        <w:tc>
          <w:tcPr>
            <w:tcW w:type="dxa" w:w="1440"/>
          </w:tcPr>
          <w:p>
            <w:r>
              <w:rPr>
                <w:rFonts w:ascii="Calibri" w:hAnsi="Calibri"/>
                <w:b/>
                <w:color w:val="E5484D"/>
                <w:sz w:val="22"/>
              </w:rPr>
              <w:t>Miss</w:t>
            </w:r>
          </w:p>
        </w:tc>
      </w:tr>
      <w:tr>
        <w:tc>
          <w:tcPr>
            <w:tcW w:type="dxa" w:w="1440"/>
          </w:tcPr>
          <w:p>
            <w:r>
              <w:rPr>
                <w:rFonts w:ascii="Calibri" w:hAnsi="Calibri"/>
                <w:sz w:val="22"/>
              </w:rPr>
              <w:t>Q3 FY2024</w:t>
            </w:r>
          </w:p>
        </w:tc>
        <w:tc>
          <w:tcPr>
            <w:tcW w:type="dxa" w:w="1440"/>
          </w:tcPr>
          <w:p>
            <w:r>
              <w:rPr>
                <w:rFonts w:ascii="Calibri" w:hAnsi="Calibri"/>
                <w:sz w:val="22"/>
              </w:rPr>
              <w:t>Non-GAAP EPS</w:t>
            </w:r>
          </w:p>
        </w:tc>
        <w:tc>
          <w:tcPr>
            <w:tcW w:type="dxa" w:w="1440"/>
          </w:tcPr>
          <w:p>
            <w:r>
              <w:rPr>
                <w:rFonts w:ascii="Calibri" w:hAnsi="Calibri"/>
                <w:sz w:val="22"/>
              </w:rPr>
              <w:t>$0.93</w:t>
            </w:r>
          </w:p>
        </w:tc>
        <w:tc>
          <w:tcPr>
            <w:tcW w:type="dxa" w:w="1440"/>
          </w:tcPr>
          <w:p>
            <w:r>
              <w:rPr>
                <w:rFonts w:ascii="Calibri" w:hAnsi="Calibri"/>
                <w:sz w:val="22"/>
              </w:rPr>
              <w:t>$0.93</w:t>
            </w:r>
          </w:p>
        </w:tc>
        <w:tc>
          <w:tcPr>
            <w:tcW w:type="dxa" w:w="1440"/>
          </w:tcPr>
          <w:p>
            <w:r>
              <w:rPr>
                <w:rFonts w:ascii="Calibri" w:hAnsi="Calibri"/>
                <w:sz w:val="22"/>
              </w:rPr>
              <w:t>0%</w:t>
            </w:r>
          </w:p>
        </w:tc>
        <w:tc>
          <w:tcPr>
            <w:tcW w:type="dxa" w:w="1440"/>
          </w:tcPr>
          <w:p>
            <w:r>
              <w:rPr>
                <w:rFonts w:ascii="Calibri" w:hAnsi="Calibri"/>
                <w:sz w:val="22"/>
              </w:rPr>
              <w:t>In Line</w:t>
            </w:r>
          </w:p>
        </w:tc>
      </w:tr>
      <w:tr>
        <w:tc>
          <w:tcPr>
            <w:tcW w:type="dxa" w:w="1440"/>
          </w:tcPr>
          <w:p>
            <w:r>
              <w:rPr>
                <w:rFonts w:ascii="Calibri" w:hAnsi="Calibri"/>
                <w:sz w:val="22"/>
              </w:rPr>
              <w:t>Q4 FY2024</w:t>
            </w:r>
          </w:p>
        </w:tc>
        <w:tc>
          <w:tcPr>
            <w:tcW w:type="dxa" w:w="1440"/>
          </w:tcPr>
          <w:p>
            <w:r>
              <w:rPr>
                <w:rFonts w:ascii="Calibri" w:hAnsi="Calibri"/>
                <w:sz w:val="22"/>
              </w:rPr>
              <w:t>U.S. SSS</w:t>
            </w:r>
          </w:p>
        </w:tc>
        <w:tc>
          <w:tcPr>
            <w:tcW w:type="dxa" w:w="1440"/>
          </w:tcPr>
          <w:p>
            <w:r>
              <w:rPr>
                <w:rFonts w:ascii="Calibri" w:hAnsi="Calibri"/>
                <w:sz w:val="22"/>
              </w:rPr>
              <w:t>-6.0%</w:t>
            </w:r>
          </w:p>
        </w:tc>
        <w:tc>
          <w:tcPr>
            <w:tcW w:type="dxa" w:w="1440"/>
          </w:tcPr>
          <w:p>
            <w:r>
              <w:rPr>
                <w:rFonts w:ascii="Calibri" w:hAnsi="Calibri"/>
                <w:sz w:val="22"/>
              </w:rPr>
              <w:t>-3.6%</w:t>
            </w:r>
          </w:p>
        </w:tc>
        <w:tc>
          <w:tcPr>
            <w:tcW w:type="dxa" w:w="1440"/>
          </w:tcPr>
          <w:p>
            <w:r>
              <w:rPr>
                <w:rFonts w:ascii="Calibri" w:hAnsi="Calibri"/>
                <w:sz w:val="22"/>
              </w:rPr>
              <w:t>-240 bps</w:t>
            </w:r>
          </w:p>
        </w:tc>
        <w:tc>
          <w:tcPr>
            <w:tcW w:type="dxa" w:w="1440"/>
          </w:tcPr>
          <w:p>
            <w:r>
              <w:rPr>
                <w:rFonts w:ascii="Calibri" w:hAnsi="Calibri"/>
                <w:b/>
                <w:color w:val="E5484D"/>
                <w:sz w:val="22"/>
              </w:rPr>
              <w:t>Miss</w:t>
            </w:r>
          </w:p>
        </w:tc>
      </w:tr>
      <w:tr>
        <w:tc>
          <w:tcPr>
            <w:tcW w:type="dxa" w:w="1440"/>
          </w:tcPr>
          <w:p>
            <w:r>
              <w:rPr>
                <w:rFonts w:ascii="Calibri" w:hAnsi="Calibri"/>
                <w:sz w:val="22"/>
              </w:rPr>
              <w:t>Q4 FY2024</w:t>
            </w:r>
          </w:p>
        </w:tc>
        <w:tc>
          <w:tcPr>
            <w:tcW w:type="dxa" w:w="1440"/>
          </w:tcPr>
          <w:p>
            <w:r>
              <w:rPr>
                <w:rFonts w:ascii="Calibri" w:hAnsi="Calibri"/>
                <w:sz w:val="22"/>
              </w:rPr>
              <w:t>Non-GAAP EPS</w:t>
            </w:r>
          </w:p>
        </w:tc>
        <w:tc>
          <w:tcPr>
            <w:tcW w:type="dxa" w:w="1440"/>
          </w:tcPr>
          <w:p>
            <w:r>
              <w:rPr>
                <w:rFonts w:ascii="Calibri" w:hAnsi="Calibri"/>
                <w:sz w:val="22"/>
              </w:rPr>
              <w:t>$0.80</w:t>
            </w:r>
          </w:p>
        </w:tc>
        <w:tc>
          <w:tcPr>
            <w:tcW w:type="dxa" w:w="1440"/>
          </w:tcPr>
          <w:p>
            <w:r>
              <w:rPr>
                <w:rFonts w:ascii="Calibri" w:hAnsi="Calibri"/>
                <w:sz w:val="22"/>
              </w:rPr>
              <w:t>$0.91</w:t>
            </w:r>
          </w:p>
        </w:tc>
        <w:tc>
          <w:tcPr>
            <w:tcW w:type="dxa" w:w="1440"/>
          </w:tcPr>
          <w:p>
            <w:r>
              <w:rPr>
                <w:rFonts w:ascii="Calibri" w:hAnsi="Calibri"/>
                <w:sz w:val="22"/>
              </w:rPr>
              <w:t>-12.1%</w:t>
            </w:r>
          </w:p>
        </w:tc>
        <w:tc>
          <w:tcPr>
            <w:tcW w:type="dxa" w:w="1440"/>
          </w:tcPr>
          <w:p>
            <w:r>
              <w:rPr>
                <w:rFonts w:ascii="Calibri" w:hAnsi="Calibri"/>
                <w:b/>
                <w:color w:val="E5484D"/>
                <w:sz w:val="22"/>
              </w:rPr>
              <w:t>Miss</w:t>
            </w:r>
          </w:p>
        </w:tc>
      </w:tr>
      <w:tr>
        <w:tc>
          <w:tcPr>
            <w:tcW w:type="dxa" w:w="1440"/>
          </w:tcPr>
          <w:p>
            <w:r>
              <w:rPr>
                <w:rFonts w:ascii="Calibri" w:hAnsi="Calibri"/>
                <w:sz w:val="22"/>
              </w:rPr>
              <w:t>Q1 FY2025</w:t>
            </w:r>
          </w:p>
        </w:tc>
        <w:tc>
          <w:tcPr>
            <w:tcW w:type="dxa" w:w="1440"/>
          </w:tcPr>
          <w:p>
            <w:r>
              <w:rPr>
                <w:rFonts w:ascii="Calibri" w:hAnsi="Calibri"/>
                <w:sz w:val="22"/>
              </w:rPr>
              <w:t>U.S. SSS</w:t>
            </w:r>
          </w:p>
        </w:tc>
        <w:tc>
          <w:tcPr>
            <w:tcW w:type="dxa" w:w="1440"/>
          </w:tcPr>
          <w:p>
            <w:r>
              <w:rPr>
                <w:rFonts w:ascii="Calibri" w:hAnsi="Calibri"/>
                <w:sz w:val="22"/>
              </w:rPr>
              <w:t>-4.0%</w:t>
            </w:r>
          </w:p>
        </w:tc>
        <w:tc>
          <w:tcPr>
            <w:tcW w:type="dxa" w:w="1440"/>
          </w:tcPr>
          <w:p>
            <w:r>
              <w:rPr>
                <w:rFonts w:ascii="Calibri" w:hAnsi="Calibri"/>
                <w:sz w:val="22"/>
              </w:rPr>
              <w:t>-5.2%</w:t>
            </w:r>
          </w:p>
        </w:tc>
        <w:tc>
          <w:tcPr>
            <w:tcW w:type="dxa" w:w="1440"/>
          </w:tcPr>
          <w:p>
            <w:r>
              <w:rPr>
                <w:rFonts w:ascii="Calibri" w:hAnsi="Calibri"/>
                <w:sz w:val="22"/>
              </w:rPr>
              <w:t>+120 bps</w:t>
            </w:r>
          </w:p>
        </w:tc>
        <w:tc>
          <w:tcPr>
            <w:tcW w:type="dxa" w:w="1440"/>
          </w:tcPr>
          <w:p>
            <w:r>
              <w:rPr>
                <w:rFonts w:ascii="Calibri" w:hAnsi="Calibri"/>
                <w:b/>
                <w:color w:val="30A46C"/>
                <w:sz w:val="22"/>
              </w:rPr>
              <w:t>Beat</w:t>
            </w:r>
          </w:p>
        </w:tc>
      </w:tr>
      <w:tr>
        <w:tc>
          <w:tcPr>
            <w:tcW w:type="dxa" w:w="1440"/>
          </w:tcPr>
          <w:p>
            <w:r>
              <w:rPr>
                <w:rFonts w:ascii="Calibri" w:hAnsi="Calibri"/>
                <w:sz w:val="22"/>
              </w:rPr>
              <w:t>Q1 FY2025</w:t>
            </w:r>
          </w:p>
        </w:tc>
        <w:tc>
          <w:tcPr>
            <w:tcW w:type="dxa" w:w="1440"/>
          </w:tcPr>
          <w:p>
            <w:r>
              <w:rPr>
                <w:rFonts w:ascii="Calibri" w:hAnsi="Calibri"/>
                <w:sz w:val="22"/>
              </w:rPr>
              <w:t>Non-GAAP EPS</w:t>
            </w:r>
          </w:p>
        </w:tc>
        <w:tc>
          <w:tcPr>
            <w:tcW w:type="dxa" w:w="1440"/>
          </w:tcPr>
          <w:p>
            <w:r>
              <w:rPr>
                <w:rFonts w:ascii="Calibri" w:hAnsi="Calibri"/>
                <w:sz w:val="22"/>
              </w:rPr>
              <w:t>$0.69</w:t>
            </w:r>
          </w:p>
        </w:tc>
        <w:tc>
          <w:tcPr>
            <w:tcW w:type="dxa" w:w="1440"/>
          </w:tcPr>
          <w:p>
            <w:r>
              <w:rPr>
                <w:rFonts w:ascii="Calibri" w:hAnsi="Calibri"/>
                <w:sz w:val="22"/>
              </w:rPr>
              <w:t>$0.67</w:t>
            </w:r>
          </w:p>
        </w:tc>
        <w:tc>
          <w:tcPr>
            <w:tcW w:type="dxa" w:w="1440"/>
          </w:tcPr>
          <w:p>
            <w:r>
              <w:rPr>
                <w:rFonts w:ascii="Calibri" w:hAnsi="Calibri"/>
                <w:sz w:val="22"/>
              </w:rPr>
              <w:t>+3.0%</w:t>
            </w:r>
          </w:p>
        </w:tc>
        <w:tc>
          <w:tcPr>
            <w:tcW w:type="dxa" w:w="1440"/>
          </w:tcPr>
          <w:p>
            <w:r>
              <w:rPr>
                <w:rFonts w:ascii="Calibri" w:hAnsi="Calibri"/>
                <w:b/>
                <w:color w:val="30A46C"/>
                <w:sz w:val="22"/>
              </w:rPr>
              <w:t>Beat</w:t>
            </w:r>
          </w:p>
        </w:tc>
      </w:tr>
      <w:tr>
        <w:tc>
          <w:tcPr>
            <w:tcW w:type="dxa" w:w="1440"/>
          </w:tcPr>
          <w:p>
            <w:r>
              <w:rPr>
                <w:rFonts w:ascii="Calibri" w:hAnsi="Calibri"/>
                <w:sz w:val="22"/>
              </w:rPr>
              <w:t>Q2 FY2025</w:t>
            </w:r>
          </w:p>
        </w:tc>
        <w:tc>
          <w:tcPr>
            <w:tcW w:type="dxa" w:w="1440"/>
          </w:tcPr>
          <w:p>
            <w:r>
              <w:rPr>
                <w:rFonts w:ascii="Calibri" w:hAnsi="Calibri"/>
                <w:sz w:val="22"/>
              </w:rPr>
              <w:t>U.S. SSS</w:t>
            </w:r>
          </w:p>
        </w:tc>
        <w:tc>
          <w:tcPr>
            <w:tcW w:type="dxa" w:w="1440"/>
          </w:tcPr>
          <w:p>
            <w:r>
              <w:rPr>
                <w:rFonts w:ascii="Calibri" w:hAnsi="Calibri"/>
                <w:sz w:val="22"/>
              </w:rPr>
              <w:t>-2.0%</w:t>
            </w:r>
          </w:p>
        </w:tc>
        <w:tc>
          <w:tcPr>
            <w:tcW w:type="dxa" w:w="1440"/>
          </w:tcPr>
          <w:p>
            <w:r>
              <w:rPr>
                <w:rFonts w:ascii="Calibri" w:hAnsi="Calibri"/>
                <w:sz w:val="22"/>
              </w:rPr>
              <w:t>-0.2%</w:t>
            </w:r>
          </w:p>
        </w:tc>
        <w:tc>
          <w:tcPr>
            <w:tcW w:type="dxa" w:w="1440"/>
          </w:tcPr>
          <w:p>
            <w:r>
              <w:rPr>
                <w:rFonts w:ascii="Calibri" w:hAnsi="Calibri"/>
                <w:sz w:val="22"/>
              </w:rPr>
              <w:t>-180 bps</w:t>
            </w:r>
          </w:p>
        </w:tc>
        <w:tc>
          <w:tcPr>
            <w:tcW w:type="dxa" w:w="1440"/>
          </w:tcPr>
          <w:p>
            <w:r>
              <w:rPr>
                <w:rFonts w:ascii="Calibri" w:hAnsi="Calibri"/>
                <w:b/>
                <w:color w:val="E5484D"/>
                <w:sz w:val="22"/>
              </w:rPr>
              <w:t>Miss</w:t>
            </w:r>
          </w:p>
        </w:tc>
      </w:tr>
      <w:tr>
        <w:tc>
          <w:tcPr>
            <w:tcW w:type="dxa" w:w="1440"/>
          </w:tcPr>
          <w:p>
            <w:r>
              <w:rPr>
                <w:rFonts w:ascii="Calibri" w:hAnsi="Calibri"/>
                <w:sz w:val="22"/>
              </w:rPr>
              <w:t>Q2 FY2025</w:t>
            </w:r>
          </w:p>
        </w:tc>
        <w:tc>
          <w:tcPr>
            <w:tcW w:type="dxa" w:w="1440"/>
          </w:tcPr>
          <w:p>
            <w:r>
              <w:rPr>
                <w:rFonts w:ascii="Calibri" w:hAnsi="Calibri"/>
                <w:sz w:val="22"/>
              </w:rPr>
              <w:t>Non-GAAP EPS</w:t>
            </w:r>
          </w:p>
        </w:tc>
        <w:tc>
          <w:tcPr>
            <w:tcW w:type="dxa" w:w="1440"/>
          </w:tcPr>
          <w:p>
            <w:r>
              <w:rPr>
                <w:rFonts w:ascii="Calibri" w:hAnsi="Calibri"/>
                <w:sz w:val="22"/>
              </w:rPr>
              <w:t>$0.41</w:t>
            </w:r>
          </w:p>
        </w:tc>
        <w:tc>
          <w:tcPr>
            <w:tcW w:type="dxa" w:w="1440"/>
          </w:tcPr>
          <w:p>
            <w:r>
              <w:rPr>
                <w:rFonts w:ascii="Calibri" w:hAnsi="Calibri"/>
                <w:sz w:val="22"/>
              </w:rPr>
              <w:t>$0.48</w:t>
            </w:r>
          </w:p>
        </w:tc>
        <w:tc>
          <w:tcPr>
            <w:tcW w:type="dxa" w:w="1440"/>
          </w:tcPr>
          <w:p>
            <w:r>
              <w:rPr>
                <w:rFonts w:ascii="Calibri" w:hAnsi="Calibri"/>
                <w:sz w:val="22"/>
              </w:rPr>
              <w:t>-14.6%</w:t>
            </w:r>
          </w:p>
        </w:tc>
        <w:tc>
          <w:tcPr>
            <w:tcW w:type="dxa" w:w="1440"/>
          </w:tcPr>
          <w:p>
            <w:r>
              <w:rPr>
                <w:rFonts w:ascii="Calibri" w:hAnsi="Calibri"/>
                <w:b/>
                <w:color w:val="E5484D"/>
                <w:sz w:val="22"/>
              </w:rPr>
              <w:t>Miss</w:t>
            </w:r>
          </w:p>
        </w:tc>
      </w:tr>
      <w:tr>
        <w:tc>
          <w:tcPr>
            <w:tcW w:type="dxa" w:w="1440"/>
          </w:tcPr>
          <w:p>
            <w:r>
              <w:rPr>
                <w:rFonts w:ascii="Calibri" w:hAnsi="Calibri"/>
                <w:sz w:val="22"/>
              </w:rPr>
              <w:t>Q3 FY2025</w:t>
            </w:r>
          </w:p>
        </w:tc>
        <w:tc>
          <w:tcPr>
            <w:tcW w:type="dxa" w:w="1440"/>
          </w:tcPr>
          <w:p>
            <w:r>
              <w:rPr>
                <w:rFonts w:ascii="Calibri" w:hAnsi="Calibri"/>
                <w:sz w:val="22"/>
              </w:rPr>
              <w:t>U.S. SSS</w:t>
            </w:r>
          </w:p>
        </w:tc>
        <w:tc>
          <w:tcPr>
            <w:tcW w:type="dxa" w:w="1440"/>
          </w:tcPr>
          <w:p>
            <w:r>
              <w:rPr>
                <w:rFonts w:ascii="Calibri" w:hAnsi="Calibri"/>
                <w:sz w:val="22"/>
              </w:rPr>
              <w:t>-2.0%</w:t>
            </w:r>
          </w:p>
        </w:tc>
        <w:tc>
          <w:tcPr>
            <w:tcW w:type="dxa" w:w="1440"/>
          </w:tcPr>
          <w:p>
            <w:r>
              <w:rPr>
                <w:rFonts w:ascii="Calibri" w:hAnsi="Calibri"/>
                <w:sz w:val="22"/>
              </w:rPr>
              <w:t>-2.3%</w:t>
            </w:r>
          </w:p>
        </w:tc>
        <w:tc>
          <w:tcPr>
            <w:tcW w:type="dxa" w:w="1440"/>
          </w:tcPr>
          <w:p>
            <w:r>
              <w:rPr>
                <w:rFonts w:ascii="Calibri" w:hAnsi="Calibri"/>
                <w:sz w:val="22"/>
              </w:rPr>
              <w:t>+30 bps</w:t>
            </w:r>
          </w:p>
        </w:tc>
        <w:tc>
          <w:tcPr>
            <w:tcW w:type="dxa" w:w="1440"/>
          </w:tcPr>
          <w:p>
            <w:r>
              <w:rPr>
                <w:rFonts w:ascii="Calibri" w:hAnsi="Calibri"/>
                <w:b/>
                <w:color w:val="30A46C"/>
                <w:sz w:val="22"/>
              </w:rPr>
              <w:t>Slight Beat</w:t>
            </w:r>
          </w:p>
        </w:tc>
      </w:tr>
      <w:tr>
        <w:tc>
          <w:tcPr>
            <w:tcW w:type="dxa" w:w="1440"/>
          </w:tcPr>
          <w:p>
            <w:r>
              <w:rPr>
                <w:rFonts w:ascii="Calibri" w:hAnsi="Calibri"/>
                <w:sz w:val="22"/>
              </w:rPr>
              <w:t>Q3 FY2025</w:t>
            </w:r>
          </w:p>
        </w:tc>
        <w:tc>
          <w:tcPr>
            <w:tcW w:type="dxa" w:w="1440"/>
          </w:tcPr>
          <w:p>
            <w:r>
              <w:rPr>
                <w:rFonts w:ascii="Calibri" w:hAnsi="Calibri"/>
                <w:sz w:val="22"/>
              </w:rPr>
              <w:t>Non-GAAP EPS</w:t>
            </w:r>
          </w:p>
        </w:tc>
        <w:tc>
          <w:tcPr>
            <w:tcW w:type="dxa" w:w="1440"/>
          </w:tcPr>
          <w:p>
            <w:r>
              <w:rPr>
                <w:rFonts w:ascii="Calibri" w:hAnsi="Calibri"/>
                <w:sz w:val="22"/>
              </w:rPr>
              <w:t>$0.498</w:t>
            </w:r>
          </w:p>
        </w:tc>
        <w:tc>
          <w:tcPr>
            <w:tcW w:type="dxa" w:w="1440"/>
          </w:tcPr>
          <w:p>
            <w:r>
              <w:rPr>
                <w:rFonts w:ascii="Calibri" w:hAnsi="Calibri"/>
                <w:sz w:val="22"/>
              </w:rPr>
              <w:t>$0.643</w:t>
            </w:r>
          </w:p>
        </w:tc>
        <w:tc>
          <w:tcPr>
            <w:tcW w:type="dxa" w:w="1440"/>
          </w:tcPr>
          <w:p>
            <w:r>
              <w:rPr>
                <w:rFonts w:ascii="Calibri" w:hAnsi="Calibri"/>
                <w:sz w:val="22"/>
              </w:rPr>
              <w:t>-22.6%</w:t>
            </w:r>
          </w:p>
        </w:tc>
        <w:tc>
          <w:tcPr>
            <w:tcW w:type="dxa" w:w="1440"/>
          </w:tcPr>
          <w:p>
            <w:r>
              <w:rPr>
                <w:rFonts w:ascii="Calibri" w:hAnsi="Calibri"/>
                <w:b/>
                <w:color w:val="E5484D"/>
                <w:sz w:val="22"/>
              </w:rPr>
              <w:t>Miss</w:t>
            </w:r>
          </w:p>
        </w:tc>
      </w:tr>
      <w:tr>
        <w:tc>
          <w:tcPr>
            <w:tcW w:type="dxa" w:w="1440"/>
          </w:tcPr>
          <w:p>
            <w:r>
              <w:rPr>
                <w:rFonts w:ascii="Calibri" w:hAnsi="Calibri"/>
                <w:sz w:val="22"/>
              </w:rPr>
              <w:t>Q4 FY2025</w:t>
            </w:r>
          </w:p>
        </w:tc>
        <w:tc>
          <w:tcPr>
            <w:tcW w:type="dxa" w:w="1440"/>
          </w:tcPr>
          <w:p>
            <w:r>
              <w:rPr>
                <w:rFonts w:ascii="Calibri" w:hAnsi="Calibri"/>
                <w:sz w:val="22"/>
              </w:rPr>
              <w:t>U.S. SSS</w:t>
            </w:r>
          </w:p>
        </w:tc>
        <w:tc>
          <w:tcPr>
            <w:tcW w:type="dxa" w:w="1440"/>
          </w:tcPr>
          <w:p>
            <w:r>
              <w:rPr>
                <w:rFonts w:ascii="Calibri" w:hAnsi="Calibri"/>
                <w:sz w:val="22"/>
              </w:rPr>
              <w:t>0.0%</w:t>
            </w:r>
          </w:p>
        </w:tc>
        <w:tc>
          <w:tcPr>
            <w:tcW w:type="dxa" w:w="1440"/>
          </w:tcPr>
          <w:p>
            <w:r>
              <w:rPr>
                <w:rFonts w:ascii="Calibri" w:hAnsi="Calibri"/>
                <w:sz w:val="22"/>
              </w:rPr>
              <w:t>-0.3%</w:t>
            </w:r>
          </w:p>
        </w:tc>
        <w:tc>
          <w:tcPr>
            <w:tcW w:type="dxa" w:w="1440"/>
          </w:tcPr>
          <w:p>
            <w:r>
              <w:rPr>
                <w:rFonts w:ascii="Calibri" w:hAnsi="Calibri"/>
                <w:sz w:val="22"/>
              </w:rPr>
              <w:t>+30 bps</w:t>
            </w:r>
          </w:p>
        </w:tc>
        <w:tc>
          <w:tcPr>
            <w:tcW w:type="dxa" w:w="1440"/>
          </w:tcPr>
          <w:p>
            <w:r>
              <w:rPr>
                <w:rFonts w:ascii="Calibri" w:hAnsi="Calibri"/>
                <w:b/>
                <w:color w:val="30A46C"/>
                <w:sz w:val="22"/>
              </w:rPr>
              <w:t>Slight Beat</w:t>
            </w:r>
          </w:p>
        </w:tc>
      </w:tr>
      <w:tr>
        <w:tc>
          <w:tcPr>
            <w:tcW w:type="dxa" w:w="1440"/>
          </w:tcPr>
          <w:p>
            <w:r>
              <w:rPr>
                <w:rFonts w:ascii="Calibri" w:hAnsi="Calibri"/>
                <w:sz w:val="22"/>
              </w:rPr>
              <w:t>Q4 FY2025</w:t>
            </w:r>
          </w:p>
        </w:tc>
        <w:tc>
          <w:tcPr>
            <w:tcW w:type="dxa" w:w="1440"/>
          </w:tcPr>
          <w:p>
            <w:r>
              <w:rPr>
                <w:rFonts w:ascii="Calibri" w:hAnsi="Calibri"/>
                <w:sz w:val="22"/>
              </w:rPr>
              <w:t>Non-GAAP EPS</w:t>
            </w:r>
          </w:p>
        </w:tc>
        <w:tc>
          <w:tcPr>
            <w:tcW w:type="dxa" w:w="1440"/>
          </w:tcPr>
          <w:p>
            <w:r>
              <w:rPr>
                <w:rFonts w:ascii="Calibri" w:hAnsi="Calibri"/>
                <w:sz w:val="22"/>
              </w:rPr>
              <w:t>$0.52</w:t>
            </w:r>
          </w:p>
        </w:tc>
        <w:tc>
          <w:tcPr>
            <w:tcW w:type="dxa" w:w="1440"/>
          </w:tcPr>
          <w:p>
            <w:r>
              <w:rPr>
                <w:rFonts w:ascii="Calibri" w:hAnsi="Calibri"/>
                <w:sz w:val="22"/>
              </w:rPr>
              <w:t>$0.55</w:t>
            </w:r>
          </w:p>
        </w:tc>
        <w:tc>
          <w:tcPr>
            <w:tcW w:type="dxa" w:w="1440"/>
          </w:tcPr>
          <w:p>
            <w:r>
              <w:rPr>
                <w:rFonts w:ascii="Calibri" w:hAnsi="Calibri"/>
                <w:sz w:val="22"/>
              </w:rPr>
              <w:t>-5.5%</w:t>
            </w:r>
          </w:p>
        </w:tc>
        <w:tc>
          <w:tcPr>
            <w:tcW w:type="dxa" w:w="1440"/>
          </w:tcPr>
          <w:p>
            <w:r>
              <w:rPr>
                <w:rFonts w:ascii="Calibri" w:hAnsi="Calibri"/>
                <w:b/>
                <w:color w:val="E5484D"/>
                <w:sz w:val="22"/>
              </w:rPr>
              <w:t>Miss</w:t>
            </w:r>
          </w:p>
        </w:tc>
      </w:tr>
      <w:tr>
        <w:tc>
          <w:tcPr>
            <w:tcW w:type="dxa" w:w="1440"/>
          </w:tcPr>
          <w:p>
            <w:r>
              <w:rPr>
                <w:rFonts w:ascii="Calibri" w:hAnsi="Calibri"/>
                <w:sz w:val="22"/>
              </w:rPr>
              <w:t>Q1 FY2026</w:t>
            </w:r>
          </w:p>
        </w:tc>
        <w:tc>
          <w:tcPr>
            <w:tcW w:type="dxa" w:w="1440"/>
          </w:tcPr>
          <w:p>
            <w:r>
              <w:rPr>
                <w:rFonts w:ascii="Calibri" w:hAnsi="Calibri"/>
                <w:sz w:val="22"/>
              </w:rPr>
              <w:t>U.S. SSS</w:t>
            </w:r>
          </w:p>
        </w:tc>
        <w:tc>
          <w:tcPr>
            <w:tcW w:type="dxa" w:w="1440"/>
          </w:tcPr>
          <w:p>
            <w:r>
              <w:rPr>
                <w:rFonts w:ascii="Calibri" w:hAnsi="Calibri"/>
                <w:sz w:val="22"/>
              </w:rPr>
              <w:t>+4.0%</w:t>
            </w:r>
          </w:p>
        </w:tc>
        <w:tc>
          <w:tcPr>
            <w:tcW w:type="dxa" w:w="1440"/>
          </w:tcPr>
          <w:p>
            <w:r>
              <w:rPr>
                <w:rFonts w:ascii="Calibri" w:hAnsi="Calibri"/>
                <w:sz w:val="22"/>
              </w:rPr>
              <w:t>+2.0%</w:t>
            </w:r>
          </w:p>
        </w:tc>
        <w:tc>
          <w:tcPr>
            <w:tcW w:type="dxa" w:w="1440"/>
          </w:tcPr>
          <w:p>
            <w:r>
              <w:rPr>
                <w:rFonts w:ascii="Calibri" w:hAnsi="Calibri"/>
                <w:sz w:val="22"/>
              </w:rPr>
              <w:t>+200 bps</w:t>
            </w:r>
          </w:p>
        </w:tc>
        <w:tc>
          <w:tcPr>
            <w:tcW w:type="dxa" w:w="1440"/>
          </w:tcPr>
          <w:p>
            <w:r>
              <w:rPr>
                <w:rFonts w:ascii="Calibri" w:hAnsi="Calibri"/>
                <w:b/>
                <w:color w:val="30A46C"/>
                <w:sz w:val="22"/>
              </w:rPr>
              <w:t>Beat</w:t>
            </w:r>
          </w:p>
        </w:tc>
      </w:tr>
      <w:tr>
        <w:tc>
          <w:tcPr>
            <w:tcW w:type="dxa" w:w="1440"/>
          </w:tcPr>
          <w:p>
            <w:r>
              <w:rPr>
                <w:rFonts w:ascii="Calibri" w:hAnsi="Calibri"/>
                <w:sz w:val="22"/>
              </w:rPr>
              <w:t>Q1 FY2026</w:t>
            </w:r>
          </w:p>
        </w:tc>
        <w:tc>
          <w:tcPr>
            <w:tcW w:type="dxa" w:w="1440"/>
          </w:tcPr>
          <w:p>
            <w:r>
              <w:rPr>
                <w:rFonts w:ascii="Calibri" w:hAnsi="Calibri"/>
                <w:sz w:val="22"/>
              </w:rPr>
              <w:t>Non-GAAP EPS</w:t>
            </w:r>
          </w:p>
        </w:tc>
        <w:tc>
          <w:tcPr>
            <w:tcW w:type="dxa" w:w="1440"/>
          </w:tcPr>
          <w:p>
            <w:r>
              <w:rPr>
                <w:rFonts w:ascii="Calibri" w:hAnsi="Calibri"/>
                <w:sz w:val="22"/>
              </w:rPr>
              <w:t>$0.56</w:t>
            </w:r>
          </w:p>
        </w:tc>
        <w:tc>
          <w:tcPr>
            <w:tcW w:type="dxa" w:w="1440"/>
          </w:tcPr>
          <w:p>
            <w:r>
              <w:rPr>
                <w:rFonts w:ascii="Calibri" w:hAnsi="Calibri"/>
                <w:sz w:val="22"/>
              </w:rPr>
              <w:t>$0.59</w:t>
            </w:r>
          </w:p>
        </w:tc>
        <w:tc>
          <w:tcPr>
            <w:tcW w:type="dxa" w:w="1440"/>
          </w:tcPr>
          <w:p>
            <w:r>
              <w:rPr>
                <w:rFonts w:ascii="Calibri" w:hAnsi="Calibri"/>
                <w:sz w:val="22"/>
              </w:rPr>
              <w:t>-5.1%</w:t>
            </w:r>
          </w:p>
        </w:tc>
        <w:tc>
          <w:tcPr>
            <w:tcW w:type="dxa" w:w="1440"/>
          </w:tcPr>
          <w:p>
            <w:r>
              <w:rPr>
                <w:rFonts w:ascii="Calibri" w:hAnsi="Calibri"/>
                <w:b/>
                <w:color w:val="E5484D"/>
                <w:sz w:val="22"/>
              </w:rPr>
              <w:t>Miss</w:t>
            </w:r>
          </w:p>
        </w:tc>
      </w:tr>
      <w:tr>
        <w:tc>
          <w:tcPr>
            <w:tcW w:type="dxa" w:w="1440"/>
          </w:tcPr>
          <w:p>
            <w:r>
              <w:rPr>
                <w:rFonts w:ascii="Calibri" w:hAnsi="Calibri"/>
                <w:sz w:val="22"/>
              </w:rPr>
              <w:t>Q2 FY2026</w:t>
            </w:r>
          </w:p>
        </w:tc>
        <w:tc>
          <w:tcPr>
            <w:tcW w:type="dxa" w:w="1440"/>
          </w:tcPr>
          <w:p>
            <w:r>
              <w:rPr>
                <w:rFonts w:ascii="Calibri" w:hAnsi="Calibri"/>
                <w:sz w:val="22"/>
              </w:rPr>
              <w:t>U.S. SSS</w:t>
            </w:r>
          </w:p>
        </w:tc>
        <w:tc>
          <w:tcPr>
            <w:tcW w:type="dxa" w:w="1440"/>
          </w:tcPr>
          <w:p>
            <w:r>
              <w:rPr>
                <w:rFonts w:ascii="Calibri" w:hAnsi="Calibri"/>
                <w:sz w:val="22"/>
              </w:rPr>
              <w:t>+7.1%</w:t>
            </w:r>
          </w:p>
        </w:tc>
        <w:tc>
          <w:tcPr>
            <w:tcW w:type="dxa" w:w="1440"/>
          </w:tcPr>
          <w:p>
            <w:r>
              <w:rPr>
                <w:rFonts w:ascii="Calibri" w:hAnsi="Calibri"/>
                <w:sz w:val="22"/>
              </w:rPr>
              <w:t>+3.4%</w:t>
            </w:r>
          </w:p>
        </w:tc>
        <w:tc>
          <w:tcPr>
            <w:tcW w:type="dxa" w:w="1440"/>
          </w:tcPr>
          <w:p>
            <w:r>
              <w:rPr>
                <w:rFonts w:ascii="Calibri" w:hAnsi="Calibri"/>
                <w:sz w:val="22"/>
              </w:rPr>
              <w:t>+370 bps</w:t>
            </w:r>
          </w:p>
        </w:tc>
        <w:tc>
          <w:tcPr>
            <w:tcW w:type="dxa" w:w="1440"/>
          </w:tcPr>
          <w:p>
            <w:r>
              <w:rPr>
                <w:rFonts w:ascii="Calibri" w:hAnsi="Calibri"/>
                <w:b/>
                <w:color w:val="30A46C"/>
                <w:sz w:val="22"/>
              </w:rPr>
              <w:t>Strong Beat</w:t>
            </w:r>
          </w:p>
        </w:tc>
      </w:tr>
      <w:tr>
        <w:tc>
          <w:tcPr>
            <w:tcW w:type="dxa" w:w="1440"/>
          </w:tcPr>
          <w:p>
            <w:r>
              <w:rPr>
                <w:rFonts w:ascii="Calibri" w:hAnsi="Calibri"/>
                <w:sz w:val="22"/>
              </w:rPr>
              <w:t>Q2 FY2026</w:t>
            </w:r>
          </w:p>
        </w:tc>
        <w:tc>
          <w:tcPr>
            <w:tcW w:type="dxa" w:w="1440"/>
          </w:tcPr>
          <w:p>
            <w:r>
              <w:rPr>
                <w:rFonts w:ascii="Calibri" w:hAnsi="Calibri"/>
                <w:sz w:val="22"/>
              </w:rPr>
              <w:t>Non-GAAP EPS</w:t>
            </w:r>
          </w:p>
        </w:tc>
        <w:tc>
          <w:tcPr>
            <w:tcW w:type="dxa" w:w="1440"/>
          </w:tcPr>
          <w:p>
            <w:r>
              <w:rPr>
                <w:rFonts w:ascii="Calibri" w:hAnsi="Calibri"/>
                <w:sz w:val="22"/>
              </w:rPr>
              <w:t>$0.50</w:t>
            </w:r>
          </w:p>
        </w:tc>
        <w:tc>
          <w:tcPr>
            <w:tcW w:type="dxa" w:w="1440"/>
          </w:tcPr>
          <w:p>
            <w:r>
              <w:rPr>
                <w:rFonts w:ascii="Calibri" w:hAnsi="Calibri"/>
                <w:sz w:val="22"/>
              </w:rPr>
              <w:t>$0.42</w:t>
            </w:r>
          </w:p>
        </w:tc>
        <w:tc>
          <w:tcPr>
            <w:tcW w:type="dxa" w:w="1440"/>
          </w:tcPr>
          <w:p>
            <w:r>
              <w:rPr>
                <w:rFonts w:ascii="Calibri" w:hAnsi="Calibri"/>
                <w:sz w:val="22"/>
              </w:rPr>
              <w:t>+19.0%</w:t>
            </w:r>
          </w:p>
        </w:tc>
        <w:tc>
          <w:tcPr>
            <w:tcW w:type="dxa" w:w="1440"/>
          </w:tcPr>
          <w:p>
            <w:r>
              <w:rPr>
                <w:rFonts w:ascii="Calibri" w:hAnsi="Calibri"/>
                <w:b/>
                <w:color w:val="30A46C"/>
                <w:sz w:val="22"/>
              </w:rPr>
              <w:t>Strong Beat</w:t>
            </w:r>
          </w:p>
        </w:tc>
      </w:tr>
    </w:tbl>
    <w:p>
      <w:r>
        <w:rPr>
          <w:rFonts w:ascii="Calibri" w:hAnsi="Calibri"/>
          <w:b/>
          <w:color w:val="525866"/>
          <w:sz w:val="22"/>
        </w:rPr>
        <w:t xml:space="preserve">Pattern: </w:t>
      </w:r>
      <w:r>
        <w:rPr>
          <w:rFonts w:ascii="Calibri" w:hAnsi="Calibri"/>
          <w:color w:val="525866"/>
          <w:sz w:val="22"/>
        </w:rPr>
        <w:t>SBUX has beaten U.S. SSS consensus in 5 of the last 8 quarters, with the two most recent quarters delivering the largest positive surprises (+200 bps in Q1 FY26, +370 bps in Q2 FY26) — a clear inflection in the beat cadence that supports a low-bar setup into Q3. EPS has been more mixed, with beats concentrated in the most recent two quarters as the turnaround compounds. All data sourced from Visible Alpha.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 xml:space="preserve">Management raised FY2026 guidance materially at Q2 earnings (April 28) and has since reinforced confidence at two investor conferences — tone has shifted from cautiously optimistic to declaratively confident. </w:t>
      </w:r>
      <w:r>
        <w:rPr>
          <w:rFonts w:ascii="Calibri" w:hAnsi="Calibri"/>
          <w:color w:val="525866"/>
          <w:sz w:val="22"/>
        </w:rPr>
        <w:t>The only post-earnings guidance change is the revenue revision to "roughly flat" due to China JV deconsolidation, which is structural and EPS-neutral.</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FY26 Earnings, Jan 29, 2026)</w:t>
            </w:r>
          </w:p>
        </w:tc>
        <w:tc>
          <w:tcPr>
            <w:tcW w:type="dxa" w:w="1728"/>
            <w:shd w:val="clear" w:color="auto" w:fill="3B4259"/>
          </w:tcPr>
          <w:p>
            <w:r>
              <w:rPr>
                <w:rFonts w:ascii="Calibri" w:hAnsi="Calibri"/>
                <w:b/>
                <w:color w:val="FFFFFF"/>
                <w:sz w:val="22"/>
              </w:rPr>
              <w:t>Revised Guidance (Q2 FY26 Earnings, Apr 28, 2026)</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Global Comp Sales Growth (FY26)</w:t>
            </w:r>
          </w:p>
        </w:tc>
        <w:tc>
          <w:tcPr>
            <w:tcW w:type="dxa" w:w="1728"/>
          </w:tcPr>
          <w:p>
            <w:r>
              <w:rPr>
                <w:rFonts w:ascii="Calibri" w:hAnsi="Calibri"/>
                <w:sz w:val="22"/>
              </w:rPr>
              <w:t>Low-to-mid single digits</w:t>
            </w:r>
          </w:p>
        </w:tc>
        <w:tc>
          <w:tcPr>
            <w:tcW w:type="dxa" w:w="1728"/>
          </w:tcPr>
          <w:p>
            <w:r>
              <w:rPr>
                <w:rFonts w:ascii="Calibri" w:hAnsi="Calibri"/>
                <w:sz w:val="22"/>
              </w:rPr>
              <w:t>5% or better</w:t>
            </w:r>
          </w:p>
        </w:tc>
        <w:tc>
          <w:tcPr>
            <w:tcW w:type="dxa" w:w="1728"/>
          </w:tcPr>
          <w:p>
            <w:r>
              <w:rPr>
                <w:rFonts w:ascii="Calibri" w:hAnsi="Calibri"/>
                <w:sz w:val="22"/>
              </w:rPr>
              <w:t>~5.6% (FY26 consensus)</w:t>
            </w:r>
          </w:p>
        </w:tc>
        <w:tc>
          <w:tcPr>
            <w:tcW w:type="dxa" w:w="1728"/>
          </w:tcPr>
          <w:p>
            <w:r>
              <w:rPr>
                <w:rFonts w:ascii="Calibri" w:hAnsi="Calibri"/>
                <w:sz w:val="22"/>
              </w:rPr>
              <w:t>↑ Raised at Q2 earnings Apr 28, 2026; management declared "the turn in our turnaround"; positive trends confirmed through April</w:t>
            </w:r>
          </w:p>
        </w:tc>
      </w:tr>
      <w:tr>
        <w:tc>
          <w:tcPr>
            <w:tcW w:type="dxa" w:w="1728"/>
          </w:tcPr>
          <w:p>
            <w:r>
              <w:rPr>
                <w:rFonts w:ascii="Calibri" w:hAnsi="Calibri"/>
                <w:sz w:val="22"/>
              </w:rPr>
              <w:t>U.S. Comp Sales Growth (FY26)</w:t>
            </w:r>
          </w:p>
        </w:tc>
        <w:tc>
          <w:tcPr>
            <w:tcW w:type="dxa" w:w="1728"/>
          </w:tcPr>
          <w:p>
            <w:r>
              <w:rPr>
                <w:rFonts w:ascii="Calibri" w:hAnsi="Calibri"/>
                <w:sz w:val="22"/>
              </w:rPr>
              <w:t>Low-to-mid single digits</w:t>
            </w:r>
          </w:p>
        </w:tc>
        <w:tc>
          <w:tcPr>
            <w:tcW w:type="dxa" w:w="1728"/>
          </w:tcPr>
          <w:p>
            <w:r>
              <w:rPr>
                <w:rFonts w:ascii="Calibri" w:hAnsi="Calibri"/>
                <w:sz w:val="22"/>
              </w:rPr>
              <w:t>5% or better</w:t>
            </w:r>
          </w:p>
        </w:tc>
        <w:tc>
          <w:tcPr>
            <w:tcW w:type="dxa" w:w="1728"/>
          </w:tcPr>
          <w:p>
            <w:r>
              <w:rPr>
                <w:rFonts w:ascii="Calibri" w:hAnsi="Calibri"/>
                <w:sz w:val="22"/>
              </w:rPr>
              <w:t>~5.3% (FY26 consensus)</w:t>
            </w:r>
          </w:p>
        </w:tc>
        <w:tc>
          <w:tcPr>
            <w:tcW w:type="dxa" w:w="1728"/>
          </w:tcPr>
          <w:p>
            <w:r>
              <w:rPr>
                <w:rFonts w:ascii="Calibri" w:hAnsi="Calibri"/>
                <w:sz w:val="22"/>
              </w:rPr>
              <w:t>↑ Raised at Q2 earnings; broad-based transaction growth across all income cohorts and dayparts</w:t>
            </w:r>
          </w:p>
        </w:tc>
      </w:tr>
      <w:tr>
        <w:tc>
          <w:tcPr>
            <w:tcW w:type="dxa" w:w="1728"/>
          </w:tcPr>
          <w:p>
            <w:r>
              <w:rPr>
                <w:rFonts w:ascii="Calibri" w:hAnsi="Calibri"/>
                <w:sz w:val="22"/>
              </w:rPr>
              <w:t>Non-GAAP EPS (FY26)</w:t>
            </w:r>
          </w:p>
        </w:tc>
        <w:tc>
          <w:tcPr>
            <w:tcW w:type="dxa" w:w="1728"/>
          </w:tcPr>
          <w:p>
            <w:r>
              <w:rPr>
                <w:rFonts w:ascii="Calibri" w:hAnsi="Calibri"/>
                <w:sz w:val="22"/>
              </w:rPr>
              <w:t>$2.15–$2.40 (midpoint $2.28)</w:t>
            </w:r>
          </w:p>
        </w:tc>
        <w:tc>
          <w:tcPr>
            <w:tcW w:type="dxa" w:w="1728"/>
          </w:tcPr>
          <w:p>
            <w:r>
              <w:rPr>
                <w:rFonts w:ascii="Calibri" w:hAnsi="Calibri"/>
                <w:sz w:val="22"/>
              </w:rPr>
              <w:t>$2.25–$2.45 (midpoint $2.35)</w:t>
            </w:r>
          </w:p>
        </w:tc>
        <w:tc>
          <w:tcPr>
            <w:tcW w:type="dxa" w:w="1728"/>
          </w:tcPr>
          <w:p>
            <w:r>
              <w:rPr>
                <w:rFonts w:ascii="Calibri" w:hAnsi="Calibri"/>
                <w:sz w:val="22"/>
              </w:rPr>
              <w:t>$2.40</w:t>
            </w:r>
          </w:p>
        </w:tc>
        <w:tc>
          <w:tcPr>
            <w:tcW w:type="dxa" w:w="1728"/>
          </w:tcPr>
          <w:p>
            <w:r>
              <w:rPr>
                <w:rFonts w:ascii="Calibri" w:hAnsi="Calibri"/>
                <w:sz w:val="22"/>
              </w:rPr>
              <w:t>↑ Raised at both ends at Q2 earnings; China JV described as EPS-neutral; coffee/tariff headwinds expected to ease in back half</w:t>
            </w:r>
          </w:p>
        </w:tc>
      </w:tr>
      <w:tr>
        <w:tc>
          <w:tcPr>
            <w:tcW w:type="dxa" w:w="1728"/>
          </w:tcPr>
          <w:p>
            <w:r>
              <w:rPr>
                <w:rFonts w:ascii="Calibri" w:hAnsi="Calibri"/>
                <w:sz w:val="22"/>
              </w:rPr>
              <w:t>Consolidated Net Revenues (FY26)</w:t>
            </w:r>
          </w:p>
        </w:tc>
        <w:tc>
          <w:tcPr>
            <w:tcW w:type="dxa" w:w="1728"/>
          </w:tcPr>
          <w:p>
            <w:r>
              <w:rPr>
                <w:rFonts w:ascii="Calibri" w:hAnsi="Calibri"/>
                <w:sz w:val="22"/>
              </w:rPr>
              <w:t>Low-to-mid single digit growth</w:t>
            </w:r>
          </w:p>
        </w:tc>
        <w:tc>
          <w:tcPr>
            <w:tcW w:type="dxa" w:w="1728"/>
          </w:tcPr>
          <w:p>
            <w:r>
              <w:rPr>
                <w:rFonts w:ascii="Calibri" w:hAnsi="Calibri"/>
                <w:sz w:val="22"/>
              </w:rPr>
              <w:t>Roughly flat YoY</w:t>
            </w:r>
          </w:p>
        </w:tc>
        <w:tc>
          <w:tcPr>
            <w:tcW w:type="dxa" w:w="1728"/>
          </w:tcPr>
          <w:p>
            <w:r>
              <w:rPr>
                <w:rFonts w:ascii="Calibri" w:hAnsi="Calibri"/>
                <w:sz w:val="22"/>
              </w:rPr>
              <w:t>$37.8B</w:t>
            </w:r>
          </w:p>
        </w:tc>
        <w:tc>
          <w:tcPr>
            <w:tcW w:type="dxa" w:w="1728"/>
          </w:tcPr>
          <w:p>
            <w:r>
              <w:rPr>
                <w:rFonts w:ascii="Calibri" w:hAnsi="Calibri"/>
                <w:sz w:val="22"/>
              </w:rPr>
              <w:t>↓ Revised down at Q2 earnings due to China JV deconsolidation (structural, EPS-neutral); back-half China revenues &lt;20% of prior reported</w:t>
            </w:r>
          </w:p>
        </w:tc>
      </w:tr>
      <w:tr>
        <w:tc>
          <w:tcPr>
            <w:tcW w:type="dxa" w:w="1728"/>
          </w:tcPr>
          <w:p>
            <w:r>
              <w:rPr>
                <w:rFonts w:ascii="Calibri" w:hAnsi="Calibri"/>
                <w:sz w:val="22"/>
              </w:rPr>
              <w:t>Consolidated Operating Margin (FY26)</w:t>
            </w:r>
          </w:p>
        </w:tc>
        <w:tc>
          <w:tcPr>
            <w:tcW w:type="dxa" w:w="1728"/>
          </w:tcPr>
          <w:p>
            <w:r>
              <w:rPr>
                <w:rFonts w:ascii="Calibri" w:hAnsi="Calibri"/>
                <w:sz w:val="22"/>
              </w:rPr>
              <w:t>Slight YoY improvement</w:t>
            </w:r>
          </w:p>
        </w:tc>
        <w:tc>
          <w:tcPr>
            <w:tcW w:type="dxa" w:w="1728"/>
          </w:tcPr>
          <w:p>
            <w:r>
              <w:rPr>
                <w:rFonts w:ascii="Calibri" w:hAnsi="Calibri"/>
                <w:sz w:val="22"/>
              </w:rPr>
              <w:t>Slight YoY improvement (unchanged)</w:t>
            </w:r>
          </w:p>
        </w:tc>
        <w:tc>
          <w:tcPr>
            <w:tcW w:type="dxa" w:w="1728"/>
          </w:tcPr>
          <w:p>
            <w:r>
              <w:rPr>
                <w:rFonts w:ascii="Calibri" w:hAnsi="Calibri"/>
                <w:sz w:val="22"/>
              </w:rPr>
              <w:t>~10.8% implied</w:t>
            </w:r>
          </w:p>
        </w:tc>
        <w:tc>
          <w:tcPr>
            <w:tcW w:type="dxa" w:w="1728"/>
          </w:tcPr>
          <w:p>
            <w:r>
              <w:rPr>
                <w:rFonts w:ascii="Calibri" w:hAnsi="Calibri"/>
                <w:sz w:val="22"/>
              </w:rPr>
              <w:t>Unchanged; China JV margin accretive (~50% of JV revenues flow to OI); coffee/tariff pressure expected to ease H2</w:t>
            </w:r>
          </w:p>
        </w:tc>
      </w:tr>
      <w:tr>
        <w:tc>
          <w:tcPr>
            <w:tcW w:type="dxa" w:w="1728"/>
          </w:tcPr>
          <w:p>
            <w:r>
              <w:rPr>
                <w:rFonts w:ascii="Calibri" w:hAnsi="Calibri"/>
                <w:sz w:val="22"/>
              </w:rPr>
              <w:t>Cost Savings Program</w:t>
            </w:r>
          </w:p>
        </w:tc>
        <w:tc>
          <w:tcPr>
            <w:tcW w:type="dxa" w:w="1728"/>
          </w:tcPr>
          <w:p>
            <w:r>
              <w:rPr>
                <w:rFonts w:ascii="Calibri" w:hAnsi="Calibri"/>
                <w:sz w:val="22"/>
              </w:rPr>
              <w:t>$2B over FY26–FY28; $800M high-visibility</w:t>
            </w:r>
          </w:p>
        </w:tc>
        <w:tc>
          <w:tcPr>
            <w:tcW w:type="dxa" w:w="1728"/>
          </w:tcPr>
          <w:p>
            <w:r>
              <w:rPr>
                <w:rFonts w:ascii="Calibri" w:hAnsi="Calibri"/>
                <w:sz w:val="22"/>
              </w:rPr>
              <w:t>$2B target; high-visibility figure raised above $800M</w:t>
            </w:r>
          </w:p>
        </w:tc>
        <w:tc>
          <w:tcPr>
            <w:tcW w:type="dxa" w:w="1728"/>
          </w:tcPr>
          <w:p>
            <w:r>
              <w:rPr>
                <w:rFonts w:ascii="Calibri" w:hAnsi="Calibri"/>
                <w:sz w:val="22"/>
              </w:rPr>
              <w:t>N/A (not consensus-tracked)</w:t>
            </w:r>
          </w:p>
        </w:tc>
        <w:tc>
          <w:tcPr>
            <w:tcW w:type="dxa" w:w="1728"/>
          </w:tcPr>
          <w:p>
            <w:r>
              <w:rPr>
                <w:rFonts w:ascii="Calibri" w:hAnsi="Calibri"/>
                <w:sz w:val="22"/>
              </w:rPr>
              <w:t>↑ At May Bernstein conference, CFO confirmed high-visibility figure has increased above $800M and continues to rise; path to full $2B within 12–18 months (Evercore June 2026)</w:t>
            </w:r>
          </w:p>
        </w:tc>
      </w:tr>
      <w:tr>
        <w:tc>
          <w:tcPr>
            <w:tcW w:type="dxa" w:w="1728"/>
          </w:tcPr>
          <w:p>
            <w:r>
              <w:rPr>
                <w:rFonts w:ascii="Calibri" w:hAnsi="Calibri"/>
                <w:sz w:val="22"/>
              </w:rPr>
              <w:t>Net New Stores (FY26)</w:t>
            </w:r>
          </w:p>
        </w:tc>
        <w:tc>
          <w:tcPr>
            <w:tcW w:type="dxa" w:w="1728"/>
          </w:tcPr>
          <w:p>
            <w:r>
              <w:rPr>
                <w:rFonts w:ascii="Calibri" w:hAnsi="Calibri"/>
                <w:sz w:val="22"/>
              </w:rPr>
              <w:t>600–650 net new globally</w:t>
            </w:r>
          </w:p>
        </w:tc>
        <w:tc>
          <w:tcPr>
            <w:tcW w:type="dxa" w:w="1728"/>
          </w:tcPr>
          <w:p>
            <w:r>
              <w:rPr>
                <w:rFonts w:ascii="Calibri" w:hAnsi="Calibri"/>
                <w:sz w:val="22"/>
              </w:rPr>
              <w:t>600–650 net new (unchanged)</w:t>
            </w:r>
          </w:p>
        </w:tc>
        <w:tc>
          <w:tcPr>
            <w:tcW w:type="dxa" w:w="1728"/>
          </w:tcPr>
          <w:p>
            <w:r>
              <w:rPr>
                <w:rFonts w:ascii="Calibri" w:hAnsi="Calibri"/>
                <w:sz w:val="22"/>
              </w:rPr>
              <w:t>~41,238 total stores</w:t>
            </w:r>
          </w:p>
        </w:tc>
        <w:tc>
          <w:tcPr>
            <w:tcW w:type="dxa" w:w="1728"/>
          </w:tcPr>
          <w:p>
            <w:r>
              <w:rPr>
                <w:rFonts w:ascii="Calibri" w:hAnsi="Calibri"/>
                <w:sz w:val="22"/>
              </w:rPr>
              <w:t>Unchanged; 150–175 U.S. company-operated; 450–500 international (incl. ~half China JV)</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 xml:space="preserve">Estimates have moved constructively since the Q2 print — Q3 FY26 EPS consensus is stable at $0.65 (vs. $0.65 post-print baseline) while FY26 EPS consensus of $2.40 sits above the guidance midpoint of $2.35, suggesting the Street is already pricing in modest upside. </w:t>
      </w:r>
      <w:r>
        <w:rPr>
          <w:rFonts w:ascii="Calibri" w:hAnsi="Calibri"/>
          <w:color w:val="525866"/>
          <w:sz w:val="22"/>
        </w:rPr>
        <w:t>The comp estimate of +6.2% for Q3 represents a deliberate deceleration assumption vs. Q2's +7.1% actual — a gap that is more likely a cushion than a risk given management's tone.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~5 Days Post Q2 Earnings (as of May 5, 2026)</w:t>
            </w:r>
          </w:p>
        </w:tc>
        <w:tc>
          <w:tcPr>
            <w:tcW w:type="dxa" w:w="1080"/>
            <w:shd w:val="clear" w:color="auto" w:fill="3B4259"/>
          </w:tcPr>
          <w:p>
            <w:r>
              <w:rPr>
                <w:rFonts w:ascii="Calibri" w:hAnsi="Calibri"/>
                <w:b/>
                <w:color w:val="FFFFFF"/>
                <w:sz w:val="22"/>
              </w:rPr>
              <w:t>Current Consensus (Jul 28, 2026)</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(Q2 Earnings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U.S. SSS (Q3 FY26)</w:t>
            </w:r>
          </w:p>
        </w:tc>
        <w:tc>
          <w:tcPr>
            <w:tcW w:type="dxa" w:w="1080"/>
          </w:tcPr>
          <w:p>
            <w:r>
              <w:rPr>
                <w:rFonts w:ascii="Calibri" w:hAnsi="Calibri"/>
                <w:sz w:val="22"/>
              </w:rPr>
              <w:t>+5.94%</w:t>
            </w:r>
          </w:p>
        </w:tc>
        <w:tc>
          <w:tcPr>
            <w:tcW w:type="dxa" w:w="1080"/>
          </w:tcPr>
          <w:p>
            <w:r>
              <w:rPr>
                <w:rFonts w:ascii="Calibri" w:hAnsi="Calibri"/>
                <w:sz w:val="22"/>
              </w:rPr>
              <w:t>+5.77%</w:t>
            </w:r>
          </w:p>
        </w:tc>
        <w:tc>
          <w:tcPr>
            <w:tcW w:type="dxa" w:w="1080"/>
          </w:tcPr>
          <w:p>
            <w:r>
              <w:rPr>
                <w:rFonts w:ascii="Calibri" w:hAnsi="Calibri"/>
                <w:sz w:val="22"/>
              </w:rPr>
              <w:t>-17 bps</w:t>
            </w:r>
          </w:p>
        </w:tc>
        <w:tc>
          <w:tcPr>
            <w:tcW w:type="dxa" w:w="1080"/>
          </w:tcPr>
          <w:p>
            <w:r>
              <w:rPr>
                <w:rFonts w:ascii="Calibri" w:hAnsi="Calibri"/>
                <w:sz w:val="22"/>
              </w:rPr>
              <w:t>5% or better (FY26)</w:t>
            </w:r>
          </w:p>
        </w:tc>
        <w:tc>
          <w:tcPr>
            <w:tcW w:type="dxa" w:w="1080"/>
          </w:tcPr>
          <w:p>
            <w:r>
              <w:rPr>
                <w:rFonts w:ascii="Calibri" w:hAnsi="Calibri"/>
                <w:sz w:val="22"/>
              </w:rPr>
              <w:t>5% or better (FY26)</w:t>
            </w:r>
          </w:p>
        </w:tc>
        <w:tc>
          <w:tcPr>
            <w:tcW w:type="dxa" w:w="1080"/>
          </w:tcPr>
          <w:p>
            <w:r>
              <w:rPr>
                <w:rFonts w:ascii="Calibri" w:hAnsi="Calibri"/>
                <w:sz w:val="22"/>
              </w:rPr>
              <w:t>Unchanged</w:t>
            </w:r>
          </w:p>
        </w:tc>
        <w:tc>
          <w:tcPr>
            <w:tcW w:type="dxa" w:w="1080"/>
          </w:tcPr>
          <w:p>
            <w:r>
              <w:rPr>
                <w:rFonts w:ascii="Calibri" w:hAnsi="Calibri"/>
                <w:sz w:val="22"/>
              </w:rPr>
              <w:t>+77 bps above floor</w:t>
            </w:r>
          </w:p>
        </w:tc>
      </w:tr>
      <w:tr>
        <w:tc>
          <w:tcPr>
            <w:tcW w:type="dxa" w:w="1080"/>
          </w:tcPr>
          <w:p>
            <w:r>
              <w:rPr>
                <w:rFonts w:ascii="Calibri" w:hAnsi="Calibri"/>
                <w:sz w:val="22"/>
              </w:rPr>
              <w:t>North America SSS (Q3 FY26)</w:t>
            </w:r>
          </w:p>
        </w:tc>
        <w:tc>
          <w:tcPr>
            <w:tcW w:type="dxa" w:w="1080"/>
          </w:tcPr>
          <w:p>
            <w:r>
              <w:rPr>
                <w:rFonts w:ascii="Calibri" w:hAnsi="Calibri"/>
                <w:sz w:val="22"/>
              </w:rPr>
              <w:t>+6.20%</w:t>
            </w:r>
          </w:p>
        </w:tc>
        <w:tc>
          <w:tcPr>
            <w:tcW w:type="dxa" w:w="1080"/>
          </w:tcPr>
          <w:p>
            <w:r>
              <w:rPr>
                <w:rFonts w:ascii="Calibri" w:hAnsi="Calibri"/>
                <w:sz w:val="22"/>
              </w:rPr>
              <w:t>+6.20%</w:t>
            </w:r>
          </w:p>
        </w:tc>
        <w:tc>
          <w:tcPr>
            <w:tcW w:type="dxa" w:w="1080"/>
          </w:tcPr>
          <w:p>
            <w:r>
              <w:rPr>
                <w:rFonts w:ascii="Calibri" w:hAnsi="Calibri"/>
                <w:sz w:val="22"/>
              </w:rPr>
              <w:t>Flat</w:t>
            </w:r>
          </w:p>
        </w:tc>
        <w:tc>
          <w:tcPr>
            <w:tcW w:type="dxa" w:w="1080"/>
          </w:tcPr>
          <w:p>
            <w:r>
              <w:rPr>
                <w:rFonts w:ascii="Calibri" w:hAnsi="Calibri"/>
                <w:sz w:val="22"/>
              </w:rPr>
              <w:t>5% or better (FY26)</w:t>
            </w:r>
          </w:p>
        </w:tc>
        <w:tc>
          <w:tcPr>
            <w:tcW w:type="dxa" w:w="1080"/>
          </w:tcPr>
          <w:p>
            <w:r>
              <w:rPr>
                <w:rFonts w:ascii="Calibri" w:hAnsi="Calibri"/>
                <w:sz w:val="22"/>
              </w:rPr>
              <w:t>5% or better (FY26)</w:t>
            </w:r>
          </w:p>
        </w:tc>
        <w:tc>
          <w:tcPr>
            <w:tcW w:type="dxa" w:w="1080"/>
          </w:tcPr>
          <w:p>
            <w:r>
              <w:rPr>
                <w:rFonts w:ascii="Calibri" w:hAnsi="Calibri"/>
                <w:sz w:val="22"/>
              </w:rPr>
              <w:t>Unchanged</w:t>
            </w:r>
          </w:p>
        </w:tc>
        <w:tc>
          <w:tcPr>
            <w:tcW w:type="dxa" w:w="1080"/>
          </w:tcPr>
          <w:p>
            <w:r>
              <w:rPr>
                <w:rFonts w:ascii="Calibri" w:hAnsi="Calibri"/>
                <w:sz w:val="22"/>
              </w:rPr>
              <w:t>+120 bps above floor</w:t>
            </w:r>
          </w:p>
        </w:tc>
      </w:tr>
      <w:tr>
        <w:tc>
          <w:tcPr>
            <w:tcW w:type="dxa" w:w="1080"/>
          </w:tcPr>
          <w:p>
            <w:r>
              <w:rPr>
                <w:rFonts w:ascii="Calibri" w:hAnsi="Calibri"/>
                <w:sz w:val="22"/>
              </w:rPr>
              <w:t>Non-GAAP EPS (Q3 FY26)</w:t>
            </w:r>
          </w:p>
        </w:tc>
        <w:tc>
          <w:tcPr>
            <w:tcW w:type="dxa" w:w="1080"/>
          </w:tcPr>
          <w:p>
            <w:r>
              <w:rPr>
                <w:rFonts w:ascii="Calibri" w:hAnsi="Calibri"/>
                <w:sz w:val="22"/>
              </w:rPr>
              <w:t>$0.648</w:t>
            </w:r>
          </w:p>
        </w:tc>
        <w:tc>
          <w:tcPr>
            <w:tcW w:type="dxa" w:w="1080"/>
          </w:tcPr>
          <w:p>
            <w:r>
              <w:rPr>
                <w:rFonts w:ascii="Calibri" w:hAnsi="Calibri"/>
                <w:sz w:val="22"/>
              </w:rPr>
              <w:t>$0.652</w:t>
            </w:r>
          </w:p>
        </w:tc>
        <w:tc>
          <w:tcPr>
            <w:tcW w:type="dxa" w:w="1080"/>
          </w:tcPr>
          <w:p>
            <w:r>
              <w:rPr>
                <w:rFonts w:ascii="Calibri" w:hAnsi="Calibri"/>
                <w:sz w:val="22"/>
              </w:rPr>
              <w:t>+0.6%</w:t>
            </w:r>
          </w:p>
        </w:tc>
        <w:tc>
          <w:tcPr>
            <w:tcW w:type="dxa" w:w="1080"/>
          </w:tcPr>
          <w:p>
            <w:r>
              <w:rPr>
                <w:rFonts w:ascii="Calibri" w:hAnsi="Calibri"/>
                <w:sz w:val="22"/>
              </w:rPr>
              <w:t>$2.25–$2.45 FY26</w:t>
            </w:r>
          </w:p>
        </w:tc>
        <w:tc>
          <w:tcPr>
            <w:tcW w:type="dxa" w:w="1080"/>
          </w:tcPr>
          <w:p>
            <w:r>
              <w:rPr>
                <w:rFonts w:ascii="Calibri" w:hAnsi="Calibri"/>
                <w:sz w:val="22"/>
              </w:rPr>
              <w:t>$2.25–$2.45 FY26</w:t>
            </w:r>
          </w:p>
        </w:tc>
        <w:tc>
          <w:tcPr>
            <w:tcW w:type="dxa" w:w="1080"/>
          </w:tcPr>
          <w:p>
            <w:r>
              <w:rPr>
                <w:rFonts w:ascii="Calibri" w:hAnsi="Calibri"/>
                <w:sz w:val="22"/>
              </w:rPr>
              <w:t>Unchanged</w:t>
            </w:r>
          </w:p>
        </w:tc>
        <w:tc>
          <w:tcPr>
            <w:tcW w:type="dxa" w:w="1080"/>
          </w:tcPr>
          <w:p>
            <w:r>
              <w:rPr>
                <w:rFonts w:ascii="Calibri" w:hAnsi="Calibri"/>
                <w:sz w:val="22"/>
              </w:rPr>
              <w:t>Tracking above midpoint run-rate</w:t>
            </w:r>
          </w:p>
        </w:tc>
      </w:tr>
      <w:tr>
        <w:tc>
          <w:tcPr>
            <w:tcW w:type="dxa" w:w="1080"/>
          </w:tcPr>
          <w:p>
            <w:r>
              <w:rPr>
                <w:rFonts w:ascii="Calibri" w:hAnsi="Calibri"/>
                <w:sz w:val="22"/>
              </w:rPr>
              <w:t>Total Net Revenues (Q3 FY26)</w:t>
            </w:r>
          </w:p>
        </w:tc>
        <w:tc>
          <w:tcPr>
            <w:tcW w:type="dxa" w:w="1080"/>
          </w:tcPr>
          <w:p>
            <w:r>
              <w:rPr>
                <w:rFonts w:ascii="Calibri" w:hAnsi="Calibri"/>
                <w:sz w:val="22"/>
              </w:rPr>
              <w:t>$9.18B</w:t>
            </w:r>
          </w:p>
        </w:tc>
        <w:tc>
          <w:tcPr>
            <w:tcW w:type="dxa" w:w="1080"/>
          </w:tcPr>
          <w:p>
            <w:r>
              <w:rPr>
                <w:rFonts w:ascii="Calibri" w:hAnsi="Calibri"/>
                <w:sz w:val="22"/>
              </w:rPr>
              <w:t>$9.17B</w:t>
            </w:r>
          </w:p>
        </w:tc>
        <w:tc>
          <w:tcPr>
            <w:tcW w:type="dxa" w:w="1080"/>
          </w:tcPr>
          <w:p>
            <w:r>
              <w:rPr>
                <w:rFonts w:ascii="Calibri" w:hAnsi="Calibri"/>
                <w:sz w:val="22"/>
              </w:rPr>
              <w:t>-0.1%</w:t>
            </w:r>
          </w:p>
        </w:tc>
        <w:tc>
          <w:tcPr>
            <w:tcW w:type="dxa" w:w="1080"/>
          </w:tcPr>
          <w:p>
            <w:r>
              <w:rPr>
                <w:rFonts w:ascii="Calibri" w:hAnsi="Calibri"/>
                <w:sz w:val="22"/>
              </w:rPr>
              <w:t>Roughly flat YoY (FY26)</w:t>
            </w:r>
          </w:p>
        </w:tc>
        <w:tc>
          <w:tcPr>
            <w:tcW w:type="dxa" w:w="1080"/>
          </w:tcPr>
          <w:p>
            <w:r>
              <w:rPr>
                <w:rFonts w:ascii="Calibri" w:hAnsi="Calibri"/>
                <w:sz w:val="22"/>
              </w:rPr>
              <w:t>Roughly flat YoY (FY26)</w:t>
            </w:r>
          </w:p>
        </w:tc>
        <w:tc>
          <w:tcPr>
            <w:tcW w:type="dxa" w:w="1080"/>
          </w:tcPr>
          <w:p>
            <w:r>
              <w:rPr>
                <w:rFonts w:ascii="Calibri" w:hAnsi="Calibri"/>
                <w:sz w:val="22"/>
              </w:rPr>
              <w:t>Unchanged</w:t>
            </w:r>
          </w:p>
        </w:tc>
        <w:tc>
          <w:tcPr>
            <w:tcW w:type="dxa" w:w="1080"/>
          </w:tcPr>
          <w:p>
            <w:r>
              <w:rPr>
                <w:rFonts w:ascii="Calibri" w:hAnsi="Calibri"/>
                <w:sz w:val="22"/>
              </w:rPr>
              <w:t>In line</w:t>
            </w:r>
          </w:p>
        </w:tc>
      </w:tr>
      <w:tr>
        <w:tc>
          <w:tcPr>
            <w:tcW w:type="dxa" w:w="1080"/>
          </w:tcPr>
          <w:p>
            <w:r>
              <w:rPr>
                <w:rFonts w:ascii="Calibri" w:hAnsi="Calibri"/>
                <w:sz w:val="22"/>
              </w:rPr>
              <w:t>Non-GAAP EPS (FY26)</w:t>
            </w:r>
          </w:p>
        </w:tc>
        <w:tc>
          <w:tcPr>
            <w:tcW w:type="dxa" w:w="1080"/>
          </w:tcPr>
          <w:p>
            <w:r>
              <w:rPr>
                <w:rFonts w:ascii="Calibri" w:hAnsi="Calibri"/>
                <w:sz w:val="22"/>
              </w:rPr>
              <w:t>$2.38</w:t>
            </w:r>
          </w:p>
        </w:tc>
        <w:tc>
          <w:tcPr>
            <w:tcW w:type="dxa" w:w="1080"/>
          </w:tcPr>
          <w:p>
            <w:r>
              <w:rPr>
                <w:rFonts w:ascii="Calibri" w:hAnsi="Calibri"/>
                <w:sz w:val="22"/>
              </w:rPr>
              <w:t>$2.40</w:t>
            </w:r>
          </w:p>
        </w:tc>
        <w:tc>
          <w:tcPr>
            <w:tcW w:type="dxa" w:w="1080"/>
          </w:tcPr>
          <w:p>
            <w:r>
              <w:rPr>
                <w:rFonts w:ascii="Calibri" w:hAnsi="Calibri"/>
                <w:sz w:val="22"/>
              </w:rPr>
              <w:t>+0.8%</w:t>
            </w:r>
          </w:p>
        </w:tc>
        <w:tc>
          <w:tcPr>
            <w:tcW w:type="dxa" w:w="1080"/>
          </w:tcPr>
          <w:p>
            <w:r>
              <w:rPr>
                <w:rFonts w:ascii="Calibri" w:hAnsi="Calibri"/>
                <w:sz w:val="22"/>
              </w:rPr>
              <w:t>$2.25–$2.45 (midpoint $2.35)</w:t>
            </w:r>
          </w:p>
        </w:tc>
        <w:tc>
          <w:tcPr>
            <w:tcW w:type="dxa" w:w="1080"/>
          </w:tcPr>
          <w:p>
            <w:r>
              <w:rPr>
                <w:rFonts w:ascii="Calibri" w:hAnsi="Calibri"/>
                <w:sz w:val="22"/>
              </w:rPr>
              <w:t>$2.25–$2.45 (midpoint $2.35)</w:t>
            </w:r>
          </w:p>
        </w:tc>
        <w:tc>
          <w:tcPr>
            <w:tcW w:type="dxa" w:w="1080"/>
          </w:tcPr>
          <w:p>
            <w:r>
              <w:rPr>
                <w:rFonts w:ascii="Calibri" w:hAnsi="Calibri"/>
                <w:sz w:val="22"/>
              </w:rPr>
              <w:t>Unchanged</w:t>
            </w:r>
          </w:p>
        </w:tc>
        <w:tc>
          <w:tcPr>
            <w:tcW w:type="dxa" w:w="1080"/>
          </w:tcPr>
          <w:p>
            <w:r>
              <w:rPr>
                <w:rFonts w:ascii="Calibri" w:hAnsi="Calibri"/>
                <w:sz w:val="22"/>
              </w:rPr>
              <w:t>+2.1% above midpoint</w:t>
            </w:r>
          </w:p>
        </w:tc>
      </w:tr>
      <w:tr>
        <w:tc>
          <w:tcPr>
            <w:tcW w:type="dxa" w:w="1080"/>
          </w:tcPr>
          <w:p>
            <w:r>
              <w:rPr>
                <w:rFonts w:ascii="Calibri" w:hAnsi="Calibri"/>
                <w:sz w:val="22"/>
              </w:rPr>
              <w:t>Total Net Revenues (FY26)</w:t>
            </w:r>
          </w:p>
        </w:tc>
        <w:tc>
          <w:tcPr>
            <w:tcW w:type="dxa" w:w="1080"/>
          </w:tcPr>
          <w:p>
            <w:r>
              <w:rPr>
                <w:rFonts w:ascii="Calibri" w:hAnsi="Calibri"/>
                <w:sz w:val="22"/>
              </w:rPr>
              <w:t>$37.82B</w:t>
            </w:r>
          </w:p>
        </w:tc>
        <w:tc>
          <w:tcPr>
            <w:tcW w:type="dxa" w:w="1080"/>
          </w:tcPr>
          <w:p>
            <w:r>
              <w:rPr>
                <w:rFonts w:ascii="Calibri" w:hAnsi="Calibri"/>
                <w:sz w:val="22"/>
              </w:rPr>
              <w:t>$37.84B</w:t>
            </w:r>
          </w:p>
        </w:tc>
        <w:tc>
          <w:tcPr>
            <w:tcW w:type="dxa" w:w="1080"/>
          </w:tcPr>
          <w:p>
            <w:r>
              <w:rPr>
                <w:rFonts w:ascii="Calibri" w:hAnsi="Calibri"/>
                <w:sz w:val="22"/>
              </w:rPr>
              <w:t>+0.1%</w:t>
            </w:r>
          </w:p>
        </w:tc>
        <w:tc>
          <w:tcPr>
            <w:tcW w:type="dxa" w:w="1080"/>
          </w:tcPr>
          <w:p>
            <w:r>
              <w:rPr>
                <w:rFonts w:ascii="Calibri" w:hAnsi="Calibri"/>
                <w:sz w:val="22"/>
              </w:rPr>
              <w:t>Roughly flat YoY</w:t>
            </w:r>
          </w:p>
        </w:tc>
        <w:tc>
          <w:tcPr>
            <w:tcW w:type="dxa" w:w="1080"/>
          </w:tcPr>
          <w:p>
            <w:r>
              <w:rPr>
                <w:rFonts w:ascii="Calibri" w:hAnsi="Calibri"/>
                <w:sz w:val="22"/>
              </w:rPr>
              <w:t>Roughly flat YoY</w:t>
            </w:r>
          </w:p>
        </w:tc>
        <w:tc>
          <w:tcPr>
            <w:tcW w:type="dxa" w:w="1080"/>
          </w:tcPr>
          <w:p>
            <w:r>
              <w:rPr>
                <w:rFonts w:ascii="Calibri" w:hAnsi="Calibri"/>
                <w:sz w:val="22"/>
              </w:rPr>
              <w:t>Unchanged</w:t>
            </w:r>
          </w:p>
        </w:tc>
        <w:tc>
          <w:tcPr>
            <w:tcW w:type="dxa" w:w="1080"/>
          </w:tcPr>
          <w:p>
            <w:r>
              <w:rPr>
                <w:rFonts w:ascii="Calibri" w:hAnsi="Calibri"/>
                <w:sz w:val="22"/>
              </w:rPr>
              <w:t>In line</w:t>
            </w:r>
          </w:p>
        </w:tc>
      </w:tr>
    </w:tbl>
    <w:p>
      <w:r>
        <w:rPr>
          <w:rFonts w:ascii="Calibri" w:hAnsi="Calibri"/>
          <w:color w:val="525866"/>
          <w:sz w:val="22"/>
        </w:rPr>
        <w:t>Estimates have been remarkably stable since the Q2 print, with no meaningful downward revisions despite macro uncertainty — a sign the Street has conviction in the turnaround trajectory. The FY26 EPS consensus of $2.40 sitting above the guidance midpoint of $2.35 implies the Street expects SBUX to beat the midpoint, consistent with the recent pattern of management guiding conservatively. All consensus figures sourced from Visible Alpha.</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 xml:space="preserve">SBUX has outperformed the S&amp;P 500 (+6.0% vs. +4.1%) but significantly outperformed the Consumer Discretionary ETF (XLY, -3.9%) since the Q2 earnings date — suggesting the move is </w:t>
      </w:r>
      <w:r>
        <w:rPr>
          <w:rFonts w:ascii="Calibri" w:hAnsi="Calibri"/>
          <w:b/>
          <w:color w:val="525866"/>
          <w:sz w:val="22"/>
        </w:rPr>
        <w:t>idiosyncratic and revision-driven</w:t>
      </w:r>
      <w:r>
        <w:rPr>
          <w:rFonts w:ascii="Calibri" w:hAnsi="Calibri"/>
          <w:color w:val="525866"/>
          <w:sz w:val="22"/>
        </w:rPr>
        <w:t>, not sector-driven. The stock has given back some of its initial post-earnings surge as macro uncertainty weighed on consumer names broadly, creating a potentially attractive re-entry point ahead of Q3.</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SBUX vs. XLY (Consumer Discretionary ETF) vs. S&amp;P 500 (SPY) — Indexed to 100 at Q2 FY2026 Earnings Date (April 28, 2026). Sector ETF: XLY (SPDR Consumer Discretionary Select Sector ETF), appropriate for SBUX's Consumer Discretionary sub-sector classification. Source: Yahoo Finance.</w:t>
      </w:r>
    </w:p>
    <w:p>
      <w:pPr>
        <w:pStyle w:val="ListBullet"/>
        <w:ind w:left="360" w:hanging="360"/>
      </w:pPr>
      <w:r>
        <w:rPr>
          <w:rFonts w:ascii="Calibri" w:hAnsi="Calibri"/>
          <w:b/>
          <w:color w:val="525866"/>
          <w:sz w:val="22"/>
        </w:rPr>
        <w:t xml:space="preserve">April 28, 2026 (Q2 FY26 Earnings): </w:t>
      </w:r>
      <w:r>
        <w:rPr>
          <w:rFonts w:ascii="Calibri" w:hAnsi="Calibri"/>
          <w:color w:val="525866"/>
          <w:sz w:val="22"/>
        </w:rPr>
        <w:t>SBUX closed at $97.28 pre-earnings, then surged ~8% in after-hours to ~$105.50 on the massive comp beat (+7.1% vs. ~+3.4% consensus) and EPS beat ($0.50 vs. ~$0.42 consensus). Stock opened at $105.50 on April 29.</w:t>
      </w:r>
    </w:p>
    <w:p>
      <w:pPr>
        <w:pStyle w:val="ListBullet"/>
        <w:ind w:left="360" w:hanging="360"/>
      </w:pPr>
      <w:r>
        <w:rPr>
          <w:rFonts w:ascii="Calibri" w:hAnsi="Calibri"/>
          <w:b/>
          <w:color w:val="525866"/>
          <w:sz w:val="22"/>
        </w:rPr>
        <w:t xml:space="preserve">May 28, 2026 (Bernstein Strategic Decisions Conference): </w:t>
      </w:r>
      <w:r>
        <w:rPr>
          <w:rFonts w:ascii="Calibri" w:hAnsi="Calibri"/>
          <w:color w:val="525866"/>
          <w:sz w:val="22"/>
        </w:rPr>
        <w:t>CFO confirmed cost savings visibility has risen above $800M and continues to increase; CEO reiterated "ahead of schedule" on turnaround. Stock was ~$100.75, having pulled back from post-earnings highs as broader market volatility weighed.</w:t>
      </w:r>
    </w:p>
    <w:p>
      <w:pPr>
        <w:pStyle w:val="ListBullet"/>
        <w:ind w:left="360" w:hanging="360"/>
      </w:pPr>
      <w:r>
        <w:rPr>
          <w:rFonts w:ascii="Calibri" w:hAnsi="Calibri"/>
          <w:b/>
          <w:color w:val="525866"/>
          <w:sz w:val="22"/>
        </w:rPr>
        <w:t xml:space="preserve">June 9, 2026 (Evercore Consumer &amp; Retail Conference): </w:t>
      </w:r>
      <w:r>
        <w:rPr>
          <w:rFonts w:ascii="Calibri" w:hAnsi="Calibri"/>
          <w:color w:val="525866"/>
          <w:sz w:val="22"/>
        </w:rPr>
        <w:t>CEO provided geographic specificity on U.S. unit growth opportunity (middle of country under-penetrated); confirmed path to $2B savings within 12–18 months; stock at ~$97.41, near post-earnings lows.</w:t>
      </w:r>
    </w:p>
    <w:p>
      <w:pPr>
        <w:pStyle w:val="ListBullet"/>
        <w:ind w:left="360" w:hanging="360"/>
      </w:pPr>
      <w:r>
        <w:rPr>
          <w:rFonts w:ascii="Calibri" w:hAnsi="Calibri"/>
          <w:b/>
          <w:color w:val="525866"/>
          <w:sz w:val="22"/>
        </w:rPr>
        <w:t xml:space="preserve">July 2026 Recovery: </w:t>
      </w:r>
      <w:r>
        <w:rPr>
          <w:rFonts w:ascii="Calibri" w:hAnsi="Calibri"/>
          <w:color w:val="525866"/>
          <w:sz w:val="22"/>
        </w:rPr>
        <w:t>Stock recovered to ~$103–$108 range through July as broader market stabilized and SBUX-specific catalysts (Blue Coconut Refresher launch June 16, continued positive comp data) supported sentiment. Last close July 28: $103.10.</w:t>
      </w:r>
    </w:p>
    <w:p>
      <w:r>
        <w:rPr>
          <w:rFonts w:ascii="Calibri" w:hAnsi="Calibri"/>
          <w:color w:val="525866"/>
          <w:sz w:val="22"/>
        </w:rPr>
        <w:t>The stock's underperformance vs. its post-earnings peak (~$106–$108) despite stable-to-improving estimates suggests the move has been multiple-driven (macro de-rating of consumer names) rather than fundamental. At ~$103, SBUX trades at approximately 43x trailing non-GAAP EPS and ~28x FY26 consensus EPS of $2.40 — a premium that reflects turnaround optionality but is not stretched given the FY2028 EPS target of $3.35–$4.00 (implying ~26–31x on a 2-year forward basis). Stock price data sourced from Yahoo Finance.</w:t>
      </w:r>
    </w:p>
    <w:p>
      <w:r>
        <w:br w:type="page"/>
      </w:r>
    </w:p>
    <w:p>
      <w:pPr>
        <w:pStyle w:val="Heading2"/>
      </w:pPr>
      <w:r>
        <w:rPr>
          <w:rFonts w:ascii="Calibri" w:hAnsi="Calibri"/>
          <w:b/>
          <w:color w:val="3B4259"/>
          <w:sz w:val="28"/>
        </w:rPr>
        <w:t>6. Peer Commentaries — Read-Through for SBUX Q3 FY2026</w:t>
      </w:r>
    </w:p>
    <w:p>
      <w:r>
        <w:rPr>
          <w:rFonts w:ascii="Calibri" w:hAnsi="Calibri"/>
          <w:b/>
          <w:color w:val="525866"/>
          <w:sz w:val="22"/>
        </w:rPr>
        <w:t xml:space="preserve">Key Takeaway: </w:t>
      </w:r>
      <w:r>
        <w:rPr>
          <w:rFonts w:ascii="Calibri" w:hAnsi="Calibri"/>
          <w:color w:val="525866"/>
          <w:sz w:val="22"/>
        </w:rPr>
        <w:t xml:space="preserve">Peer commentary from the last 60 days is broadly constructive for SBUX — Dutch Bros' exceptional transaction growth and beverage category strength validate the tailwind SBUX is riding, while McDonald's and QSR commentary on low-income consumer stress and macro uncertainty are the key risk flags to watch. </w:t>
      </w:r>
      <w:r>
        <w:rPr>
          <w:rFonts w:ascii="Calibri" w:hAnsi="Calibri"/>
          <w:color w:val="525866"/>
          <w:sz w:val="22"/>
        </w:rPr>
        <w:t>Domino's Q2 print (July 20) is the most timely read-through, confirming QSR order counts were flat industry-wide in Q2 — making SBUX's ability to sustain +6%+ comps even more impressive if achieved.</w:t>
      </w:r>
    </w:p>
    <w:p>
      <w:r>
        <w:rPr>
          <w:rFonts w:ascii="Calibri" w:hAnsi="Calibri"/>
          <w:b/>
          <w:color w:val="525866"/>
          <w:sz w:val="22"/>
        </w:rPr>
        <w:t xml:space="preserve">Note: </w:t>
      </w:r>
      <w:r>
        <w:rPr>
          <w:rFonts w:ascii="Calibri" w:hAnsi="Calibri"/>
          <w:i/>
          <w:color w:val="525866"/>
          <w:sz w:val="22"/>
        </w:rPr>
        <w:t>Only commentary from peers reporting on or discussing the current quarter (SBUX Q3 FY2026, calendar Q2 2026, April–June 2026) or post-Q2 FY2026 SBUX earnings conferences is included. Prior-quarter earnings results commentary has been excluded.</w:t>
      </w:r>
    </w:p>
    <w:p>
      <w:pPr>
        <w:pStyle w:val="Heading3"/>
      </w:pPr>
      <w:r>
        <w:rPr>
          <w:rFonts w:ascii="Calibri" w:hAnsi="Calibri"/>
          <w:b/>
          <w:color w:val="3B4259"/>
          <w:sz w:val="24"/>
        </w:rPr>
        <w:t>Dutch Bros (BROS) — Q1 2026 Earnings (May 6, 2026) &amp; William Blair Conference (June 2, 2026)</w:t>
      </w:r>
    </w:p>
    <w:p>
      <w:r>
        <w:rPr>
          <w:rFonts w:ascii="Calibri" w:hAnsi="Calibri"/>
          <w:b/>
          <w:color w:val="525866"/>
          <w:sz w:val="22"/>
        </w:rPr>
        <w:t xml:space="preserve">Read-Through Signal: </w:t>
      </w:r>
      <w:r>
        <w:rPr>
          <w:rFonts w:ascii="Calibri" w:hAnsi="Calibri"/>
          <w:b/>
          <w:color w:val="30A46C"/>
          <w:sz w:val="22"/>
        </w:rPr>
        <w:t>Strongly Positive for SBUX</w:t>
      </w:r>
    </w:p>
    <w:p>
      <w:pPr>
        <w:pStyle w:val="ListBullet"/>
        <w:ind w:left="360" w:hanging="360"/>
      </w:pPr>
      <w:r>
        <w:rPr>
          <w:rFonts w:ascii="Calibri" w:hAnsi="Calibri"/>
          <w:b/>
          <w:color w:val="525866"/>
          <w:sz w:val="22"/>
        </w:rPr>
        <w:t xml:space="preserve">Beverage category is a "bright spot in the consumer space" </w:t>
      </w:r>
      <w:r>
        <w:rPr>
          <w:rFonts w:ascii="Calibri" w:hAnsi="Calibri"/>
          <w:color w:val="525866"/>
          <w:sz w:val="22"/>
        </w:rPr>
        <w:t>(William Blair, June 2): CEO Christine Barone explicitly called the beverage market a bright spot with continued growth, driven by "a need for customization, a need for cold, a real growth in the energy space." This directly validates SBUX's refresher platform expansion and afternoon daypart strategy.</w:t>
      </w:r>
    </w:p>
    <w:p>
      <w:pPr>
        <w:pStyle w:val="ListBullet"/>
        <w:ind w:left="360" w:hanging="360"/>
      </w:pPr>
      <w:r>
        <w:rPr>
          <w:rFonts w:ascii="Calibri" w:hAnsi="Calibri"/>
          <w:b/>
          <w:color w:val="525866"/>
          <w:sz w:val="22"/>
        </w:rPr>
        <w:t xml:space="preserve">7 consecutive quarters of transaction growth </w:t>
      </w:r>
      <w:r>
        <w:rPr>
          <w:rFonts w:ascii="Calibri" w:hAnsi="Calibri"/>
          <w:color w:val="525866"/>
          <w:sz w:val="22"/>
        </w:rPr>
        <w:t>(Q1 earnings, May 6): BROS reported system same-shop sales of +8.3% driven by +5.1% transaction growth — the strongest in the industry. Company-operated SSS was +10.6% with +6.9% transaction growth. This confirms the specialty beverage consumer is healthy and actively trading up, a direct positive read-through for SBUX's transaction-led comp story.</w:t>
      </w:r>
    </w:p>
    <w:p>
      <w:pPr>
        <w:pStyle w:val="ListBullet"/>
        <w:ind w:left="360" w:hanging="360"/>
      </w:pPr>
      <w:r>
        <w:rPr>
          <w:rFonts w:ascii="Calibri" w:hAnsi="Calibri"/>
          <w:b/>
          <w:color w:val="525866"/>
          <w:sz w:val="22"/>
        </w:rPr>
        <w:t xml:space="preserve">No impact from Starbucks energy drink launch </w:t>
      </w:r>
      <w:r>
        <w:rPr>
          <w:rFonts w:ascii="Calibri" w:hAnsi="Calibri"/>
          <w:color w:val="525866"/>
          <w:sz w:val="22"/>
        </w:rPr>
        <w:t>(Q1 earnings, May 6): BROS management explicitly stated "we don't believe we've seen any impact from that launch" (referring to SBUX's energy refresher launch). This is a two-way read-through: SBUX's refresher launch is not cannibalizing BROS, suggesting it is attracting new or lapsed customers rather than stealing from competitors.</w:t>
      </w:r>
    </w:p>
    <w:p>
      <w:pPr>
        <w:pStyle w:val="ListBullet"/>
        <w:ind w:left="360" w:hanging="360"/>
      </w:pPr>
      <w:r>
        <w:rPr>
          <w:rFonts w:ascii="Calibri" w:hAnsi="Calibri"/>
          <w:b/>
          <w:color w:val="525866"/>
          <w:sz w:val="22"/>
        </w:rPr>
        <w:t xml:space="preserve">Coffee cost headwind acknowledged but manageable </w:t>
      </w:r>
      <w:r>
        <w:rPr>
          <w:rFonts w:ascii="Calibri" w:hAnsi="Calibri"/>
          <w:color w:val="525866"/>
          <w:sz w:val="22"/>
        </w:rPr>
        <w:t>(William Blair, June 2): BROS noted elevated coffee costs for ~18 months spiking in Q1 P&amp;L but maintained Q1 shop margins "north of 28%." CFO noted they have "quite a bit of pricing power" but chose to absorb costs. This confirms the coffee cost environment SBUX faces is real but manageable with scale.</w:t>
      </w:r>
    </w:p>
    <w:p>
      <w:pPr>
        <w:pStyle w:val="ListBullet"/>
        <w:ind w:left="360" w:hanging="360"/>
      </w:pPr>
      <w:r>
        <w:rPr>
          <w:rFonts w:ascii="Calibri" w:hAnsi="Calibri"/>
          <w:b/>
          <w:color w:val="525866"/>
          <w:sz w:val="22"/>
        </w:rPr>
        <w:t xml:space="preserve">Q2 2026 same-shop sales guidance of ~5% </w:t>
      </w:r>
      <w:r>
        <w:rPr>
          <w:rFonts w:ascii="Calibri" w:hAnsi="Calibri"/>
          <w:color w:val="525866"/>
          <w:sz w:val="22"/>
        </w:rPr>
        <w:t>(Q1 earnings, May 6): BROS guided Q2 system SSS "approaching 5%" — a deceleration from Q1's 8.3% on harder compares. If BROS is seeing ~5% in Q2 (calendar Q1 2026), SBUX's ability to sustain 6%+ in its Q3 (calendar Q2 2026) would be impressive and above-category performance.</w:t>
      </w:r>
    </w:p>
    <w:p>
      <w:pPr>
        <w:pStyle w:val="Heading3"/>
      </w:pPr>
      <w:r>
        <w:rPr>
          <w:rFonts w:ascii="Calibri" w:hAnsi="Calibri"/>
          <w:b/>
          <w:color w:val="3B4259"/>
          <w:sz w:val="24"/>
        </w:rPr>
        <w:t>McDonald's (MCD) — Q1 2026 Earnings (May 7, 2026)</w:t>
      </w:r>
    </w:p>
    <w:p>
      <w:r>
        <w:rPr>
          <w:rFonts w:ascii="Calibri" w:hAnsi="Calibri"/>
          <w:b/>
          <w:color w:val="525866"/>
          <w:sz w:val="22"/>
        </w:rPr>
        <w:t xml:space="preserve">Read-Through Signal: </w:t>
      </w:r>
      <w:r>
        <w:rPr>
          <w:rFonts w:ascii="Calibri" w:hAnsi="Calibri"/>
          <w:b/>
          <w:color w:val="525866"/>
          <w:sz w:val="22"/>
        </w:rPr>
        <w:t>Mixed — Positive on Beverage, Cautious on Low-Income Consumer</w:t>
      </w:r>
    </w:p>
    <w:p>
      <w:pPr>
        <w:pStyle w:val="ListBullet"/>
        <w:ind w:left="360" w:hanging="360"/>
      </w:pPr>
      <w:r>
        <w:rPr>
          <w:rFonts w:ascii="Calibri" w:hAnsi="Calibri"/>
          <w:b/>
          <w:color w:val="525866"/>
          <w:sz w:val="22"/>
        </w:rPr>
        <w:t xml:space="preserve">Low-income consumer "absolutely still declining" </w:t>
      </w:r>
      <w:r>
        <w:rPr>
          <w:rFonts w:ascii="Calibri" w:hAnsi="Calibri"/>
          <w:color w:val="525866"/>
          <w:sz w:val="22"/>
        </w:rPr>
        <w:t>(Q1 earnings, May 7): CEO Kempczinski noted the low-income consumer segment is "absolutely still declining," though declines are less pronounced than 6–12 months ago. Elevated gas prices are "disproportionately impacting low-income consumers." This is a risk flag for SBUX, which has noted low-income consumers are "under more stress than they ever have been" (Evercore, June 9) — though SBUX's Q2 showed broad-based growth across all income cohorts.</w:t>
      </w:r>
    </w:p>
    <w:p>
      <w:pPr>
        <w:pStyle w:val="ListBullet"/>
        <w:ind w:left="360" w:hanging="360"/>
      </w:pPr>
      <w:r>
        <w:rPr>
          <w:rFonts w:ascii="Calibri" w:hAnsi="Calibri"/>
          <w:b/>
          <w:color w:val="525866"/>
          <w:sz w:val="22"/>
        </w:rPr>
        <w:t xml:space="preserve">Beverages expected to be a "tailwind" for the balance of the year </w:t>
      </w:r>
      <w:r>
        <w:rPr>
          <w:rFonts w:ascii="Calibri" w:hAnsi="Calibri"/>
          <w:color w:val="525866"/>
          <w:sz w:val="22"/>
        </w:rPr>
        <w:t>(Q1 earnings, May 7): MCD launched refreshers and crafted sodas under the McCafe brand nationwide in May, with Red Bull-infused energy drinks planned later in the year. Management called beverages a "tailwind for the business for the balance of the year." This validates the beverage innovation cycle SBUX is riding but also signals intensifying competition in the cold beverage space.</w:t>
      </w:r>
    </w:p>
    <w:p>
      <w:pPr>
        <w:pStyle w:val="ListBullet"/>
        <w:ind w:left="360" w:hanging="360"/>
      </w:pPr>
      <w:r>
        <w:rPr>
          <w:rFonts w:ascii="Calibri" w:hAnsi="Calibri"/>
          <w:b/>
          <w:color w:val="525866"/>
          <w:sz w:val="22"/>
        </w:rPr>
        <w:t xml:space="preserve">Consumer sentiment characterized by "heightened anxiety" </w:t>
      </w:r>
      <w:r>
        <w:rPr>
          <w:rFonts w:ascii="Calibri" w:hAnsi="Calibri"/>
          <w:color w:val="525866"/>
          <w:sz w:val="22"/>
        </w:rPr>
        <w:t>(Q1 earnings, May 7): MCD noted the macro environment is "certainly not improving, and it may be getting a little bit worse," with consumer sentiment showing "heightened anxiety." April comps were "slightly negative" in both U.S. and IOM segments. This is a macro risk flag for SBUX's Q3 (April–June 2026) — though SBUX management confirmed positive comp trends continued through April at the Q2 call.</w:t>
      </w:r>
    </w:p>
    <w:p>
      <w:pPr>
        <w:pStyle w:val="ListBullet"/>
        <w:ind w:left="360" w:hanging="360"/>
      </w:pPr>
      <w:r>
        <w:rPr>
          <w:rFonts w:ascii="Calibri" w:hAnsi="Calibri"/>
          <w:b/>
          <w:color w:val="525866"/>
          <w:sz w:val="22"/>
        </w:rPr>
        <w:t xml:space="preserve">Higher-income consumers remain resilient </w:t>
      </w:r>
      <w:r>
        <w:rPr>
          <w:rFonts w:ascii="Calibri" w:hAnsi="Calibri"/>
          <w:color w:val="525866"/>
          <w:sz w:val="22"/>
        </w:rPr>
        <w:t>(Q1 earnings, May 7): MCD noted "solid growth, good growth with higher income and also gaining share with higher income." SBUX's customer base skews higher-income, which is a relative insulator vs. pure QSR peers.</w:t>
      </w:r>
    </w:p>
    <w:p>
      <w:pPr>
        <w:pStyle w:val="Heading3"/>
      </w:pPr>
      <w:r>
        <w:rPr>
          <w:rFonts w:ascii="Calibri" w:hAnsi="Calibri"/>
          <w:b/>
          <w:color w:val="3B4259"/>
          <w:sz w:val="24"/>
        </w:rPr>
        <w:t>Restaurant Brands International (QSR) — Q1 2026 Earnings (May 6, 2026) &amp; Bernstein Conference (May 28, 2026)</w:t>
      </w:r>
    </w:p>
    <w:p>
      <w:r>
        <w:rPr>
          <w:rFonts w:ascii="Calibri" w:hAnsi="Calibri"/>
          <w:b/>
          <w:color w:val="525866"/>
          <w:sz w:val="22"/>
        </w:rPr>
        <w:t xml:space="preserve">Read-Through Signal: </w:t>
      </w:r>
      <w:r>
        <w:rPr>
          <w:rFonts w:ascii="Calibri" w:hAnsi="Calibri"/>
          <w:b/>
          <w:color w:val="525866"/>
          <w:sz w:val="22"/>
        </w:rPr>
        <w:t>Mildly Positive — Validates Cold Beverage Trend, Canada Macro Softness a Watch Item</w:t>
      </w:r>
    </w:p>
    <w:p>
      <w:pPr>
        <w:pStyle w:val="ListBullet"/>
        <w:ind w:left="360" w:hanging="360"/>
      </w:pPr>
      <w:r>
        <w:rPr>
          <w:rFonts w:ascii="Calibri" w:hAnsi="Calibri"/>
          <w:b/>
          <w:color w:val="525866"/>
          <w:sz w:val="22"/>
        </w:rPr>
        <w:t xml:space="preserve">Tim Hortons cold beverages up 10% YoY </w:t>
      </w:r>
      <w:r>
        <w:rPr>
          <w:rFonts w:ascii="Calibri" w:hAnsi="Calibri"/>
          <w:color w:val="525866"/>
          <w:sz w:val="22"/>
        </w:rPr>
        <w:t>(Q1 earnings, May 6): Tim Hortons reported beverage sales grew 2% YoY with cold beverages up 10% and espresso-based drinks and tea up 8%. Growth was "broad-based across all dayparts with notable strength in morning and late night, largely driven by cold beverages and breakfast foods." This is a direct positive read-through for SBUX's cold beverage and afternoon daypart strategy.</w:t>
      </w:r>
    </w:p>
    <w:p>
      <w:pPr>
        <w:pStyle w:val="ListBullet"/>
        <w:ind w:left="360" w:hanging="360"/>
      </w:pPr>
      <w:r>
        <w:rPr>
          <w:rFonts w:ascii="Calibri" w:hAnsi="Calibri"/>
          <w:b/>
          <w:color w:val="525866"/>
          <w:sz w:val="22"/>
        </w:rPr>
        <w:t xml:space="preserve">Canadian QSR macro softness — "some softening" in Q1 </w:t>
      </w:r>
      <w:r>
        <w:rPr>
          <w:rFonts w:ascii="Calibri" w:hAnsi="Calibri"/>
          <w:color w:val="525866"/>
          <w:sz w:val="22"/>
        </w:rPr>
        <w:t>(Bernstein, May 28): CEO Kobza noted "some softening in the Canadian QSR space" in Q1, with Tim Hortons comps of ~1.5% outperforming the industry by ~150 bps. Consumer confidence "not in a great place" in Canada. SBUX has meaningful Canadian exposure; this is a modest risk flag for international comps.</w:t>
      </w:r>
    </w:p>
    <w:p>
      <w:pPr>
        <w:pStyle w:val="ListBullet"/>
        <w:ind w:left="360" w:hanging="360"/>
      </w:pPr>
      <w:r>
        <w:rPr>
          <w:rFonts w:ascii="Calibri" w:hAnsi="Calibri"/>
          <w:b/>
          <w:color w:val="525866"/>
          <w:sz w:val="22"/>
        </w:rPr>
        <w:t xml:space="preserve">Burger King U.S. +5.8% SSS — QSR consumer still spending </w:t>
      </w:r>
      <w:r>
        <w:rPr>
          <w:rFonts w:ascii="Calibri" w:hAnsi="Calibri"/>
          <w:color w:val="525866"/>
          <w:sz w:val="22"/>
        </w:rPr>
        <w:t>(Q1 earnings, May 6): BK U.S. delivered +5.8% SSS, outperforming the burger QSR industry by over 5 points. Executive Chairman Doyle noted "notable successes in the industry right now" for brands executing well on fundamentals. This validates that the consumer is still spending at well-run brands — a positive read-through for SBUX's turnaround execution story.</w:t>
      </w:r>
    </w:p>
    <w:p>
      <w:pPr>
        <w:pStyle w:val="ListBullet"/>
        <w:ind w:left="360" w:hanging="360"/>
      </w:pPr>
      <w:r>
        <w:rPr>
          <w:rFonts w:ascii="Calibri" w:hAnsi="Calibri"/>
          <w:b/>
          <w:color w:val="525866"/>
          <w:sz w:val="22"/>
        </w:rPr>
        <w:t xml:space="preserve">China consumer momentum improving </w:t>
      </w:r>
      <w:r>
        <w:rPr>
          <w:rFonts w:ascii="Calibri" w:hAnsi="Calibri"/>
          <w:color w:val="525866"/>
          <w:sz w:val="22"/>
        </w:rPr>
        <w:t>(Q1 earnings, May 6): QSR noted "starting to see some signs of improving consumer momentum" in China after "a number of rough years coming out of COVID." BK China delivered double-digit comp growth. While SBUX has deconsolidated China, this validates the JV growth thesis.</w:t>
      </w:r>
    </w:p>
    <w:p>
      <w:pPr>
        <w:pStyle w:val="Heading3"/>
      </w:pPr>
      <w:r>
        <w:rPr>
          <w:rFonts w:ascii="Calibri" w:hAnsi="Calibri"/>
          <w:b/>
          <w:color w:val="3B4259"/>
          <w:sz w:val="24"/>
        </w:rPr>
        <w:t>Domino's Pizza (DPZ) — Q2 2026 Earnings (July 20, 2026) — Most Timely Read-Through</w:t>
      </w:r>
    </w:p>
    <w:p>
      <w:r>
        <w:rPr>
          <w:rFonts w:ascii="Calibri" w:hAnsi="Calibri"/>
          <w:b/>
          <w:color w:val="525866"/>
          <w:sz w:val="22"/>
        </w:rPr>
        <w:t xml:space="preserve">Read-Through Signal: </w:t>
      </w:r>
      <w:r>
        <w:rPr>
          <w:rFonts w:ascii="Calibri" w:hAnsi="Calibri"/>
          <w:b/>
          <w:color w:val="525866"/>
          <w:sz w:val="22"/>
        </w:rPr>
        <w:t>Cautious on Industry, Positive on SBUX Differentiation</w:t>
      </w:r>
    </w:p>
    <w:p>
      <w:pPr>
        <w:pStyle w:val="ListBullet"/>
        <w:ind w:left="360" w:hanging="360"/>
      </w:pPr>
      <w:r>
        <w:rPr>
          <w:rFonts w:ascii="Calibri" w:hAnsi="Calibri"/>
          <w:b/>
          <w:color w:val="525866"/>
          <w:sz w:val="22"/>
        </w:rPr>
        <w:t xml:space="preserve">QSR industry order counts were FLAT in Q2 2026 </w:t>
      </w:r>
      <w:r>
        <w:rPr>
          <w:rFonts w:ascii="Calibri" w:hAnsi="Calibri"/>
          <w:color w:val="525866"/>
          <w:sz w:val="22"/>
        </w:rPr>
        <w:t>(Q2 earnings, July 20): DPZ management stated "the QSR industry in the US has been struggling with order counts during a difficult period of macroeconomic uncertainty" and that "QSR order counts were flat" in Q2 (calendar April–June 2026 — the exact same period as SBUX's Q3 FY2026). This is the most timely and direct industry read-through: if SBUX delivers +6%+ comps in a flat-order-count QSR environment, it would be a powerful validation of the turnaround's idiosyncratic nature.</w:t>
      </w:r>
    </w:p>
    <w:p>
      <w:pPr>
        <w:pStyle w:val="ListBullet"/>
        <w:ind w:left="360" w:hanging="360"/>
      </w:pPr>
      <w:r>
        <w:rPr>
          <w:rFonts w:ascii="Calibri" w:hAnsi="Calibri"/>
          <w:b/>
          <w:color w:val="525866"/>
          <w:sz w:val="22"/>
        </w:rPr>
        <w:t xml:space="preserve">Challenging macro and competitive environment expected to continue </w:t>
      </w:r>
      <w:r>
        <w:rPr>
          <w:rFonts w:ascii="Calibri" w:hAnsi="Calibri"/>
          <w:color w:val="525866"/>
          <w:sz w:val="22"/>
        </w:rPr>
        <w:t>(Q2 earnings, July 20): DPZ noted the business "continued to be impacted by a challenging macro environment, which is pressuring consumers as well as heightened competition" and anticipates this to continue. This sets a cautious industry backdrop for SBUX's Q3 print.</w:t>
      </w:r>
    </w:p>
    <w:p>
      <w:pPr>
        <w:pStyle w:val="ListBullet"/>
        <w:ind w:left="360" w:hanging="360"/>
      </w:pPr>
      <w:r>
        <w:rPr>
          <w:rFonts w:ascii="Calibri" w:hAnsi="Calibri"/>
          <w:b/>
          <w:color w:val="525866"/>
          <w:sz w:val="22"/>
        </w:rPr>
        <w:t xml:space="preserve">DPZ order counts "up meaningfully" despite flat industry </w:t>
      </w:r>
      <w:r>
        <w:rPr>
          <w:rFonts w:ascii="Calibri" w:hAnsi="Calibri"/>
          <w:color w:val="525866"/>
          <w:sz w:val="22"/>
        </w:rPr>
        <w:t>(Q2 earnings, July 20): Despite flat industry order counts, DPZ's own order counts were "up meaningfully in total and individually in our delivery and carryout businesses," with "millions of new customers" coming to Domino's. This shows that well-positioned brands can outperform even in a tough environment — the same thesis SBUX is executing on.</w:t>
      </w:r>
    </w:p>
    <w:p>
      <w:pPr>
        <w:pStyle w:val="ListBullet"/>
        <w:ind w:left="360" w:hanging="360"/>
      </w:pPr>
      <w:r>
        <w:rPr>
          <w:rFonts w:ascii="Calibri" w:hAnsi="Calibri"/>
          <w:b/>
          <w:color w:val="525866"/>
          <w:sz w:val="22"/>
        </w:rPr>
        <w:t xml:space="preserve">U.S. same-store sales only +0.1% in Q2 </w:t>
      </w:r>
      <w:r>
        <w:rPr>
          <w:rFonts w:ascii="Calibri" w:hAnsi="Calibri"/>
          <w:color w:val="525866"/>
          <w:sz w:val="22"/>
        </w:rPr>
        <w:t>(Q2 earnings, July 20): DPZ's U.S. SSS of +0.1% in Q2 (calendar Q2 2026) reflects the difficult consumer environment. Pricing was only +0.2%. If SBUX delivers +6%+ in the same period, it would represent a massive outperformance vs. the broader QSR industry.</w:t>
      </w:r>
    </w:p>
    <w:p>
      <w:pPr>
        <w:pStyle w:val="Heading3"/>
      </w:pPr>
      <w:r>
        <w:rPr>
          <w:rFonts w:ascii="Calibri" w:hAnsi="Calibri"/>
          <w:b/>
          <w:color w:val="3B4259"/>
          <w:sz w:val="24"/>
        </w:rPr>
        <w:t>Chipotle Mexican Grill (CMG) — Bernstein Conference (May 28, 2026)</w:t>
      </w:r>
    </w:p>
    <w:p>
      <w:r>
        <w:rPr>
          <w:rFonts w:ascii="Calibri" w:hAnsi="Calibri"/>
          <w:b/>
          <w:color w:val="525866"/>
          <w:sz w:val="22"/>
        </w:rPr>
        <w:t xml:space="preserve">Read-Through Signal: </w:t>
      </w:r>
      <w:r>
        <w:rPr>
          <w:rFonts w:ascii="Calibri" w:hAnsi="Calibri"/>
          <w:b/>
          <w:color w:val="525866"/>
          <w:sz w:val="22"/>
        </w:rPr>
        <w:t>Cautious on Industry Consumer Backdrop, Validates Innovation-Led Recovery</w:t>
      </w:r>
    </w:p>
    <w:p>
      <w:pPr>
        <w:pStyle w:val="ListBullet"/>
        <w:ind w:left="360" w:hanging="360"/>
      </w:pPr>
      <w:r>
        <w:rPr>
          <w:rFonts w:ascii="Calibri" w:hAnsi="Calibri"/>
          <w:b/>
          <w:color w:val="525866"/>
          <w:sz w:val="22"/>
        </w:rPr>
        <w:t xml:space="preserve">"Industry suffering from a declining consumer backdrop" </w:t>
      </w:r>
      <w:r>
        <w:rPr>
          <w:rFonts w:ascii="Calibri" w:hAnsi="Calibri"/>
          <w:color w:val="525866"/>
          <w:sz w:val="22"/>
        </w:rPr>
        <w:t>(Bernstein, May 28): CMG CEO Boatwright stated "the industry is suffering from a declining consumer backdrop who thinks food out of home has just gotten too expensive." He noted food-at-home inflation is starting to increase while restaurant inflation normalizes — an "important inflection point for the industry." This is a macro risk flag but also suggests the worst of the consumer pressure may be peaking.</w:t>
      </w:r>
    </w:p>
    <w:p>
      <w:pPr>
        <w:pStyle w:val="ListBullet"/>
        <w:ind w:left="360" w:hanging="360"/>
      </w:pPr>
      <w:r>
        <w:rPr>
          <w:rFonts w:ascii="Calibri" w:hAnsi="Calibri"/>
          <w:b/>
          <w:color w:val="525866"/>
          <w:sz w:val="22"/>
        </w:rPr>
        <w:t xml:space="preserve">Returned to positive transactions in Q1 2026 </w:t>
      </w:r>
      <w:r>
        <w:rPr>
          <w:rFonts w:ascii="Calibri" w:hAnsi="Calibri"/>
          <w:color w:val="525866"/>
          <w:sz w:val="22"/>
        </w:rPr>
        <w:t>(Bernstein, May 28): CMG returned to positive transactions in Q1 despite a major winter storm impact. CFO noted consumers are "very much looking for the best experience they can have" and are "much more discerning with their dollars" — validating SBUX's premium experience positioning.</w:t>
      </w:r>
    </w:p>
    <w:p>
      <w:pPr>
        <w:pStyle w:val="ListBullet"/>
        <w:ind w:left="360" w:hanging="360"/>
      </w:pPr>
      <w:r>
        <w:rPr>
          <w:rFonts w:ascii="Calibri" w:hAnsi="Calibri"/>
          <w:b/>
          <w:color w:val="525866"/>
          <w:sz w:val="22"/>
        </w:rPr>
        <w:t xml:space="preserve">Innovation cadence is the key differentiator </w:t>
      </w:r>
      <w:r>
        <w:rPr>
          <w:rFonts w:ascii="Calibri" w:hAnsi="Calibri"/>
          <w:color w:val="525866"/>
          <w:sz w:val="22"/>
        </w:rPr>
        <w:t>(Bernstein, May 28): CMG shifted from a 2-LTO to 4-LTO annual strategy, noting "brands that won in 2025 won on innovation in a meaningful way." This directly validates SBUX's accelerated innovation cadence (news every 3–4 weeks, major platform launch every couple of months) as a competitive necessity, not just a nice-to-have.</w:t>
      </w:r>
    </w:p>
    <w:p>
      <w:pPr>
        <w:pStyle w:val="ListBullet"/>
        <w:ind w:left="360" w:hanging="360"/>
      </w:pPr>
      <w:r>
        <w:rPr>
          <w:rFonts w:ascii="Calibri" w:hAnsi="Calibri"/>
          <w:b/>
          <w:color w:val="525866"/>
          <w:sz w:val="22"/>
        </w:rPr>
        <w:t xml:space="preserve">Loyalty program overhaul underway </w:t>
      </w:r>
      <w:r>
        <w:rPr>
          <w:rFonts w:ascii="Calibri" w:hAnsi="Calibri"/>
          <w:color w:val="525866"/>
          <w:sz w:val="22"/>
        </w:rPr>
        <w:t>(Bernstein, May 28): CMG acknowledged its loyalty program is "good, not great" with only 20% of in-restaurant customers enrolled. SBUX's 35.6M active Rewards members (nearly 60% of U.S. revenue) is a significant competitive moat by comparison.</w:t>
      </w:r>
    </w:p>
    <w:p>
      <w:pPr>
        <w:pStyle w:val="Heading3"/>
      </w:pPr>
      <w:r>
        <w:rPr>
          <w:rFonts w:ascii="Calibri" w:hAnsi="Calibri"/>
          <w:b/>
          <w:color w:val="3B4259"/>
          <w:sz w:val="24"/>
        </w:rPr>
        <w:t>Yum! Brands (YUM) — European Investor Conference (June 16, 2026)</w:t>
      </w:r>
    </w:p>
    <w:p>
      <w:r>
        <w:rPr>
          <w:rFonts w:ascii="Calibri" w:hAnsi="Calibri"/>
          <w:b/>
          <w:color w:val="525866"/>
          <w:sz w:val="22"/>
        </w:rPr>
        <w:t xml:space="preserve">Read-Through Signal: </w:t>
      </w:r>
      <w:r>
        <w:rPr>
          <w:rFonts w:ascii="Calibri" w:hAnsi="Calibri"/>
          <w:b/>
          <w:color w:val="525866"/>
          <w:sz w:val="22"/>
        </w:rPr>
        <w:t>Positive — Validates Protein/Wellness Trend and Beverage Innovation as Growth Drivers</w:t>
      </w:r>
    </w:p>
    <w:p>
      <w:pPr>
        <w:pStyle w:val="ListBullet"/>
        <w:ind w:left="360" w:hanging="360"/>
      </w:pPr>
      <w:r>
        <w:rPr>
          <w:rFonts w:ascii="Calibri" w:hAnsi="Calibri"/>
          <w:b/>
          <w:color w:val="525866"/>
          <w:sz w:val="22"/>
        </w:rPr>
        <w:t xml:space="preserve">"More protein is what the consumer wants" </w:t>
      </w:r>
      <w:r>
        <w:rPr>
          <w:rFonts w:ascii="Calibri" w:hAnsi="Calibri"/>
          <w:color w:val="525866"/>
          <w:sz w:val="22"/>
        </w:rPr>
        <w:t>(European Investor Conference, June 16): YUM management noted "more protein is what consumer wants. They want smaller sizes, more snackable." This directly validates SBUX's protein latte and protein cold foam platform, which has found an unexpected audience in the 30–50-year-old female demographic (per Evercore June 2026 conference).</w:t>
      </w:r>
    </w:p>
    <w:p>
      <w:pPr>
        <w:pStyle w:val="ListBullet"/>
        <w:ind w:left="360" w:hanging="360"/>
      </w:pPr>
      <w:r>
        <w:rPr>
          <w:rFonts w:ascii="Calibri" w:hAnsi="Calibri"/>
          <w:b/>
          <w:color w:val="525866"/>
          <w:sz w:val="22"/>
        </w:rPr>
        <w:t xml:space="preserve">Beverages identified as a key SSS acceleration driver </w:t>
      </w:r>
      <w:r>
        <w:rPr>
          <w:rFonts w:ascii="Calibri" w:hAnsi="Calibri"/>
          <w:color w:val="525866"/>
          <w:sz w:val="22"/>
        </w:rPr>
        <w:t>(European Investor Conference, June 16): KFC's "Quench by KFC" beverage sub-brand is described as "doing incredibly well in the UK and helping drive some of their results and making us more modern." The broader QSR industry is investing heavily in beverages as a traffic driver — validating SBUX's core competitive moat in this category.</w:t>
      </w:r>
    </w:p>
    <w:p>
      <w:pPr>
        <w:pStyle w:val="ListBullet"/>
        <w:ind w:left="360" w:hanging="360"/>
      </w:pPr>
      <w:r>
        <w:rPr>
          <w:rFonts w:ascii="Calibri" w:hAnsi="Calibri"/>
          <w:b/>
          <w:color w:val="525866"/>
          <w:sz w:val="22"/>
        </w:rPr>
        <w:t xml:space="preserve">GLP-1 impact not material in the data </w:t>
      </w:r>
      <w:r>
        <w:rPr>
          <w:rFonts w:ascii="Calibri" w:hAnsi="Calibri"/>
          <w:color w:val="525866"/>
          <w:sz w:val="22"/>
        </w:rPr>
        <w:t>(European Investor Conference, June 16): YUM management stated "we haven't seen in the data a material impact from GLP-1" despite increased usage. This is consistent with SBUX's positioning of protein and wellness beverages as GLP-1-adjacent (not GLP-1-threatened) and supports the wellness platform expansion thesis.</w:t>
      </w:r>
    </w:p>
    <w:p>
      <w:pPr>
        <w:pStyle w:val="Heading3"/>
      </w:pPr>
      <w:r>
        <w:rPr>
          <w:rFonts w:ascii="Calibri" w:hAnsi="Calibri"/>
          <w:b/>
          <w:color w:val="3B4259"/>
          <w:sz w:val="24"/>
        </w:rPr>
        <w:t>Peer Read-Through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Source / Date</w:t>
            </w:r>
          </w:p>
        </w:tc>
        <w:tc>
          <w:tcPr>
            <w:tcW w:type="dxa" w:w="1728"/>
            <w:shd w:val="clear" w:color="auto" w:fill="3B4259"/>
          </w:tcPr>
          <w:p>
            <w:r>
              <w:rPr>
                <w:rFonts w:ascii="Calibri" w:hAnsi="Calibri"/>
                <w:b/>
                <w:color w:val="FFFFFF"/>
                <w:sz w:val="22"/>
              </w:rPr>
              <w:t>Key Theme</w:t>
            </w:r>
          </w:p>
        </w:tc>
        <w:tc>
          <w:tcPr>
            <w:tcW w:type="dxa" w:w="1728"/>
            <w:shd w:val="clear" w:color="auto" w:fill="3B4259"/>
          </w:tcPr>
          <w:p>
            <w:r>
              <w:rPr>
                <w:rFonts w:ascii="Calibri" w:hAnsi="Calibri"/>
                <w:b/>
                <w:color w:val="FFFFFF"/>
                <w:sz w:val="22"/>
              </w:rPr>
              <w:t>SBUX Read-Through</w:t>
            </w:r>
          </w:p>
        </w:tc>
        <w:tc>
          <w:tcPr>
            <w:tcW w:type="dxa" w:w="1728"/>
            <w:shd w:val="clear" w:color="auto" w:fill="3B4259"/>
          </w:tcPr>
          <w:p>
            <w:r>
              <w:rPr>
                <w:rFonts w:ascii="Calibri" w:hAnsi="Calibri"/>
                <w:b/>
                <w:color w:val="FFFFFF"/>
                <w:sz w:val="22"/>
              </w:rPr>
              <w:t>Signal</w:t>
            </w:r>
          </w:p>
        </w:tc>
      </w:tr>
      <w:tr>
        <w:tc>
          <w:tcPr>
            <w:tcW w:type="dxa" w:w="1728"/>
          </w:tcPr>
          <w:p>
            <w:r>
              <w:rPr>
                <w:rFonts w:ascii="Calibri" w:hAnsi="Calibri"/>
                <w:sz w:val="22"/>
              </w:rPr>
              <w:t>Dutch Bros (BROS)</w:t>
            </w:r>
          </w:p>
        </w:tc>
        <w:tc>
          <w:tcPr>
            <w:tcW w:type="dxa" w:w="1728"/>
          </w:tcPr>
          <w:p>
            <w:r>
              <w:rPr>
                <w:rFonts w:ascii="Calibri" w:hAnsi="Calibri"/>
                <w:sz w:val="22"/>
              </w:rPr>
              <w:t>Q1 Earnings, May 6; William Blair, Jun 2</w:t>
            </w:r>
          </w:p>
        </w:tc>
        <w:tc>
          <w:tcPr>
            <w:tcW w:type="dxa" w:w="1728"/>
          </w:tcPr>
          <w:p>
            <w:r>
              <w:rPr>
                <w:rFonts w:ascii="Calibri" w:hAnsi="Calibri"/>
                <w:sz w:val="22"/>
              </w:rPr>
              <w:t>Beverage category bright spot; 7 consecutive quarters of transaction growth; +8.3% SSS</w:t>
            </w:r>
          </w:p>
        </w:tc>
        <w:tc>
          <w:tcPr>
            <w:tcW w:type="dxa" w:w="1728"/>
          </w:tcPr>
          <w:p>
            <w:r>
              <w:rPr>
                <w:rFonts w:ascii="Calibri" w:hAnsi="Calibri"/>
                <w:sz w:val="22"/>
              </w:rPr>
              <w:t>Specialty beverage consumer healthy; cold/energy/customization trends intact; no SBUX energy launch impact</w:t>
            </w:r>
          </w:p>
        </w:tc>
        <w:tc>
          <w:tcPr>
            <w:tcW w:type="dxa" w:w="1728"/>
          </w:tcPr>
          <w:p>
            <w:r>
              <w:rPr>
                <w:rFonts w:ascii="Calibri" w:hAnsi="Calibri"/>
                <w:b/>
                <w:color w:val="30A46C"/>
                <w:sz w:val="22"/>
              </w:rPr>
              <w:t>Positive</w:t>
            </w:r>
          </w:p>
        </w:tc>
      </w:tr>
      <w:tr>
        <w:tc>
          <w:tcPr>
            <w:tcW w:type="dxa" w:w="1728"/>
          </w:tcPr>
          <w:p>
            <w:r>
              <w:rPr>
                <w:rFonts w:ascii="Calibri" w:hAnsi="Calibri"/>
                <w:sz w:val="22"/>
              </w:rPr>
              <w:t>McDonald's (MCD)</w:t>
            </w:r>
          </w:p>
        </w:tc>
        <w:tc>
          <w:tcPr>
            <w:tcW w:type="dxa" w:w="1728"/>
          </w:tcPr>
          <w:p>
            <w:r>
              <w:rPr>
                <w:rFonts w:ascii="Calibri" w:hAnsi="Calibri"/>
                <w:sz w:val="22"/>
              </w:rPr>
              <w:t>Q1 Earnings, May 7</w:t>
            </w:r>
          </w:p>
        </w:tc>
        <w:tc>
          <w:tcPr>
            <w:tcW w:type="dxa" w:w="1728"/>
          </w:tcPr>
          <w:p>
            <w:r>
              <w:rPr>
                <w:rFonts w:ascii="Calibri" w:hAnsi="Calibri"/>
                <w:sz w:val="22"/>
              </w:rPr>
              <w:t>Low-income consumer still declining; macro "heightened anxiety"; beverage a tailwind</w:t>
            </w:r>
          </w:p>
        </w:tc>
        <w:tc>
          <w:tcPr>
            <w:tcW w:type="dxa" w:w="1728"/>
          </w:tcPr>
          <w:p>
            <w:r>
              <w:rPr>
                <w:rFonts w:ascii="Calibri" w:hAnsi="Calibri"/>
                <w:sz w:val="22"/>
              </w:rPr>
              <w:t>Risk: low-income stress; Positive: higher-income resilient; beverage innovation validates SBUX strategy</w:t>
            </w:r>
          </w:p>
        </w:tc>
        <w:tc>
          <w:tcPr>
            <w:tcW w:type="dxa" w:w="1728"/>
          </w:tcPr>
          <w:p>
            <w:r>
              <w:rPr>
                <w:rFonts w:ascii="Calibri" w:hAnsi="Calibri"/>
                <w:b/>
                <w:sz w:val="22"/>
              </w:rPr>
              <w:t>Mixed</w:t>
            </w:r>
          </w:p>
        </w:tc>
      </w:tr>
      <w:tr>
        <w:tc>
          <w:tcPr>
            <w:tcW w:type="dxa" w:w="1728"/>
          </w:tcPr>
          <w:p>
            <w:r>
              <w:rPr>
                <w:rFonts w:ascii="Calibri" w:hAnsi="Calibri"/>
                <w:sz w:val="22"/>
              </w:rPr>
              <w:t>Restaurant Brands (QSR)</w:t>
            </w:r>
          </w:p>
        </w:tc>
        <w:tc>
          <w:tcPr>
            <w:tcW w:type="dxa" w:w="1728"/>
          </w:tcPr>
          <w:p>
            <w:r>
              <w:rPr>
                <w:rFonts w:ascii="Calibri" w:hAnsi="Calibri"/>
                <w:sz w:val="22"/>
              </w:rPr>
              <w:t>Q1 Earnings, May 6; Bernstein, May 28</w:t>
            </w:r>
          </w:p>
        </w:tc>
        <w:tc>
          <w:tcPr>
            <w:tcW w:type="dxa" w:w="1728"/>
          </w:tcPr>
          <w:p>
            <w:r>
              <w:rPr>
                <w:rFonts w:ascii="Calibri" w:hAnsi="Calibri"/>
                <w:sz w:val="22"/>
              </w:rPr>
              <w:t>Tim Hortons cold beverages +10%; Canada macro softness; BK U.S. +5.8% SSS</w:t>
            </w:r>
          </w:p>
        </w:tc>
        <w:tc>
          <w:tcPr>
            <w:tcW w:type="dxa" w:w="1728"/>
          </w:tcPr>
          <w:p>
            <w:r>
              <w:rPr>
                <w:rFonts w:ascii="Calibri" w:hAnsi="Calibri"/>
                <w:sz w:val="22"/>
              </w:rPr>
              <w:t>Cold beverage trend validated; Canada macro a watch item; strong brands outperforming</w:t>
            </w:r>
          </w:p>
        </w:tc>
        <w:tc>
          <w:tcPr>
            <w:tcW w:type="dxa" w:w="1728"/>
          </w:tcPr>
          <w:p>
            <w:r>
              <w:rPr>
                <w:rFonts w:ascii="Calibri" w:hAnsi="Calibri"/>
                <w:b/>
                <w:color w:val="30A46C"/>
                <w:sz w:val="22"/>
              </w:rPr>
              <w:t>Mildly Positive</w:t>
            </w:r>
          </w:p>
        </w:tc>
      </w:tr>
      <w:tr>
        <w:tc>
          <w:tcPr>
            <w:tcW w:type="dxa" w:w="1728"/>
          </w:tcPr>
          <w:p>
            <w:r>
              <w:rPr>
                <w:rFonts w:ascii="Calibri" w:hAnsi="Calibri"/>
                <w:sz w:val="22"/>
              </w:rPr>
              <w:t>Domino's (DPZ)</w:t>
            </w:r>
          </w:p>
        </w:tc>
        <w:tc>
          <w:tcPr>
            <w:tcW w:type="dxa" w:w="1728"/>
          </w:tcPr>
          <w:p>
            <w:r>
              <w:rPr>
                <w:rFonts w:ascii="Calibri" w:hAnsi="Calibri"/>
                <w:sz w:val="22"/>
              </w:rPr>
              <w:t>Q2 Earnings, Jul 20 (most timely)</w:t>
            </w:r>
          </w:p>
        </w:tc>
        <w:tc>
          <w:tcPr>
            <w:tcW w:type="dxa" w:w="1728"/>
          </w:tcPr>
          <w:p>
            <w:r>
              <w:rPr>
                <w:rFonts w:ascii="Calibri" w:hAnsi="Calibri"/>
                <w:sz w:val="22"/>
              </w:rPr>
              <w:t>QSR industry order counts FLAT in Q2 2026 (Apr–Jun); challenging macro continues</w:t>
            </w:r>
          </w:p>
        </w:tc>
        <w:tc>
          <w:tcPr>
            <w:tcW w:type="dxa" w:w="1728"/>
          </w:tcPr>
          <w:p>
            <w:r>
              <w:rPr>
                <w:rFonts w:ascii="Calibri" w:hAnsi="Calibri"/>
                <w:sz w:val="22"/>
              </w:rPr>
              <w:t>If SBUX delivers 6%+ comps in same period, it is a massive outperformance vs. flat industry</w:t>
            </w:r>
          </w:p>
        </w:tc>
        <w:tc>
          <w:tcPr>
            <w:tcW w:type="dxa" w:w="1728"/>
          </w:tcPr>
          <w:p>
            <w:r>
              <w:rPr>
                <w:rFonts w:ascii="Calibri" w:hAnsi="Calibri"/>
                <w:b/>
                <w:sz w:val="22"/>
              </w:rPr>
              <w:t>Cautious on Industry / Positive on SBUX Differentiation</w:t>
            </w:r>
          </w:p>
        </w:tc>
      </w:tr>
      <w:tr>
        <w:tc>
          <w:tcPr>
            <w:tcW w:type="dxa" w:w="1728"/>
          </w:tcPr>
          <w:p>
            <w:r>
              <w:rPr>
                <w:rFonts w:ascii="Calibri" w:hAnsi="Calibri"/>
                <w:sz w:val="22"/>
              </w:rPr>
              <w:t>Chipotle (CMG)</w:t>
            </w:r>
          </w:p>
        </w:tc>
        <w:tc>
          <w:tcPr>
            <w:tcW w:type="dxa" w:w="1728"/>
          </w:tcPr>
          <w:p>
            <w:r>
              <w:rPr>
                <w:rFonts w:ascii="Calibri" w:hAnsi="Calibri"/>
                <w:sz w:val="22"/>
              </w:rPr>
              <w:t>Bernstein, May 28</w:t>
            </w:r>
          </w:p>
        </w:tc>
        <w:tc>
          <w:tcPr>
            <w:tcW w:type="dxa" w:w="1728"/>
          </w:tcPr>
          <w:p>
            <w:r>
              <w:rPr>
                <w:rFonts w:ascii="Calibri" w:hAnsi="Calibri"/>
                <w:sz w:val="22"/>
              </w:rPr>
              <w:t>Industry consumer backdrop declining; innovation cadence key differentiator; loyalty moat matters</w:t>
            </w:r>
          </w:p>
        </w:tc>
        <w:tc>
          <w:tcPr>
            <w:tcW w:type="dxa" w:w="1728"/>
          </w:tcPr>
          <w:p>
            <w:r>
              <w:rPr>
                <w:rFonts w:ascii="Calibri" w:hAnsi="Calibri"/>
                <w:sz w:val="22"/>
              </w:rPr>
              <w:t>Macro risk flag; validates SBUX's innovation acceleration and 35.6M Rewards member moat</w:t>
            </w:r>
          </w:p>
        </w:tc>
        <w:tc>
          <w:tcPr>
            <w:tcW w:type="dxa" w:w="1728"/>
          </w:tcPr>
          <w:p>
            <w:r>
              <w:rPr>
                <w:rFonts w:ascii="Calibri" w:hAnsi="Calibri"/>
                <w:b/>
                <w:sz w:val="22"/>
              </w:rPr>
              <w:t>Cautious on Industry / Positive on SBUX Positioning</w:t>
            </w:r>
          </w:p>
        </w:tc>
      </w:tr>
      <w:tr>
        <w:tc>
          <w:tcPr>
            <w:tcW w:type="dxa" w:w="1728"/>
          </w:tcPr>
          <w:p>
            <w:r>
              <w:rPr>
                <w:rFonts w:ascii="Calibri" w:hAnsi="Calibri"/>
                <w:sz w:val="22"/>
              </w:rPr>
              <w:t>Yum! Brands (YUM)</w:t>
            </w:r>
          </w:p>
        </w:tc>
        <w:tc>
          <w:tcPr>
            <w:tcW w:type="dxa" w:w="1728"/>
          </w:tcPr>
          <w:p>
            <w:r>
              <w:rPr>
                <w:rFonts w:ascii="Calibri" w:hAnsi="Calibri"/>
                <w:sz w:val="22"/>
              </w:rPr>
              <w:t>European Investor Conference, Jun 16</w:t>
            </w:r>
          </w:p>
        </w:tc>
        <w:tc>
          <w:tcPr>
            <w:tcW w:type="dxa" w:w="1728"/>
          </w:tcPr>
          <w:p>
            <w:r>
              <w:rPr>
                <w:rFonts w:ascii="Calibri" w:hAnsi="Calibri"/>
                <w:sz w:val="22"/>
              </w:rPr>
              <w:t>Protein/wellness trend real; beverages as SSS driver; GLP-1 not material in data</w:t>
            </w:r>
          </w:p>
        </w:tc>
        <w:tc>
          <w:tcPr>
            <w:tcW w:type="dxa" w:w="1728"/>
          </w:tcPr>
          <w:p>
            <w:r>
              <w:rPr>
                <w:rFonts w:ascii="Calibri" w:hAnsi="Calibri"/>
                <w:sz w:val="22"/>
              </w:rPr>
              <w:t>Validates SBUX protein/wellness platform and beverage innovation moat</w:t>
            </w:r>
          </w:p>
        </w:tc>
        <w:tc>
          <w:tcPr>
            <w:tcW w:type="dxa" w:w="1728"/>
          </w:tcPr>
          <w:p>
            <w:r>
              <w:rPr>
                <w:rFonts w:ascii="Calibri" w:hAnsi="Calibri"/>
                <w:b/>
                <w:color w:val="30A46C"/>
                <w:sz w:val="22"/>
              </w:rPr>
              <w:t>Positive</w:t>
            </w:r>
          </w:p>
        </w:tc>
      </w:tr>
    </w:tbl>
    <w:p>
      <w:r>
        <w:br w:type="page"/>
      </w:r>
    </w:p>
    <w:p>
      <w:pPr>
        <w:pStyle w:val="Heading2"/>
      </w:pPr>
      <w:r>
        <w:rPr>
          <w:rFonts w:ascii="Calibri" w:hAnsi="Calibri"/>
          <w:b/>
          <w:color w:val="3B4259"/>
          <w:sz w:val="28"/>
        </w:rPr>
        <w:t>7. Material News &amp; Developments</w:t>
      </w:r>
    </w:p>
    <w:p>
      <w:r>
        <w:rPr>
          <w:rFonts w:ascii="Calibri" w:hAnsi="Calibri"/>
          <w:b/>
          <w:color w:val="525866"/>
          <w:sz w:val="22"/>
        </w:rPr>
        <w:t xml:space="preserve">Key Takeaway: </w:t>
      </w:r>
      <w:r>
        <w:rPr>
          <w:rFonts w:ascii="Calibri" w:hAnsi="Calibri"/>
          <w:color w:val="525866"/>
          <w:sz w:val="22"/>
        </w:rPr>
        <w:t xml:space="preserve">The most important development since Q2 earnings is the China JV closing (post-quarter), which structurally deconsolidates China from financials starting Q3 — the revenue impact is mechanical and EPS-neutral, but investor confusion around the reported revenue miss is the single biggest risk to the stock on print day. </w:t>
      </w:r>
      <w:r>
        <w:rPr>
          <w:rFonts w:ascii="Calibri" w:hAnsi="Calibri"/>
          <w:color w:val="525866"/>
          <w:sz w:val="22"/>
        </w:rPr>
        <w:t>Separately, the Blue Coconut Refresher launch (June 16) and accelerating store uplift program are incremental positives for Q3 comp momentum.</w:t>
      </w:r>
    </w:p>
    <w:p>
      <w:pPr>
        <w:pStyle w:val="ListBullet"/>
        <w:ind w:left="360" w:hanging="360"/>
      </w:pPr>
      <w:r>
        <w:rPr>
          <w:rFonts w:ascii="Calibri" w:hAnsi="Calibri"/>
          <w:b/>
          <w:color w:val="525866"/>
          <w:sz w:val="22"/>
        </w:rPr>
        <w:t xml:space="preserve">April 28, 2026 — Q2 FY2026 Earnings Beat &amp; Guidance Raise (8-K): </w:t>
      </w:r>
      <w:r>
        <w:rPr>
          <w:rFonts w:ascii="Calibri" w:hAnsi="Calibri"/>
          <w:color w:val="525866"/>
          <w:sz w:val="22"/>
        </w:rPr>
        <w:t xml:space="preserve">SBUX reported Q2 revenue of $9.53B (+9% YoY), global comps of +6%, U.S. comps of +7.1%, and non-GAAP EPS of $0.50 (+22% YoY) — all well above consensus. Management declared "the turn in our turnaround" and raised FY2026 comp guidance to "5% or better" and EPS guidance to $2.25–$2.45. </w:t>
      </w:r>
      <w:r>
        <w:rPr>
          <w:rFonts w:ascii="Calibri" w:hAnsi="Calibri"/>
          <w:color w:val="525866"/>
          <w:sz w:val="22"/>
        </w:rPr>
        <w:t>Implication: Sets a high operational bar for Q3 but also raises the floor for what the Street will accept as a beat.</w:t>
      </w:r>
    </w:p>
    <w:p>
      <w:pPr>
        <w:pStyle w:val="ListBullet"/>
        <w:ind w:left="360" w:hanging="360"/>
      </w:pPr>
      <w:r>
        <w:rPr>
          <w:rFonts w:ascii="Calibri" w:hAnsi="Calibri"/>
          <w:b/>
          <w:color w:val="525866"/>
          <w:sz w:val="22"/>
        </w:rPr>
        <w:t xml:space="preserve">Post-Q2 — China JV (Boyu Capital) Closed: </w:t>
      </w:r>
      <w:r>
        <w:rPr>
          <w:rFonts w:ascii="Calibri" w:hAnsi="Calibri"/>
          <w:color w:val="525866"/>
          <w:sz w:val="22"/>
        </w:rPr>
        <w:t xml:space="preserve">The joint venture with Boyu Capital closed after Q2 quarter-end, deconsolidating China from SBUX's financials starting Q3 FY2026. China revenues will be &lt;20% of what would have been previously reported. The JV is EPS-neutral and margin accretive (~50% of JV revenues flow to operating income). </w:t>
      </w:r>
      <w:r>
        <w:rPr>
          <w:rFonts w:ascii="Calibri" w:hAnsi="Calibri"/>
          <w:color w:val="525866"/>
          <w:sz w:val="22"/>
        </w:rPr>
        <w:t>Implication: Reported Q3 revenue will look like a significant miss vs. prior year on a headline basis; investors must focus on comp growth and operating income, not revenue. Risk of confusion on print day.</w:t>
      </w:r>
    </w:p>
    <w:p>
      <w:pPr>
        <w:pStyle w:val="ListBullet"/>
        <w:ind w:left="360" w:hanging="360"/>
      </w:pPr>
      <w:r>
        <w:rPr>
          <w:rFonts w:ascii="Calibri" w:hAnsi="Calibri"/>
          <w:b/>
          <w:color w:val="525866"/>
          <w:sz w:val="22"/>
        </w:rPr>
        <w:t xml:space="preserve">May 28, 2026 — Bernstein Strategic Decisions Conference: </w:t>
      </w:r>
      <w:r>
        <w:rPr>
          <w:rFonts w:ascii="Calibri" w:hAnsi="Calibri"/>
          <w:color w:val="525866"/>
          <w:sz w:val="22"/>
        </w:rPr>
        <w:t xml:space="preserve">CFO Catherine Smith confirmed cost savings visibility has risen above the previously disclosed $800M figure and continues to increase. CEO Brian Niccol reiterated "ahead of schedule" on turnaround and confirmed the Blue Coconut Refresher launching in ~2 weeks. Store uplift program at ~700 completed (vs. ~600 at prior Bernstein), targeting 1,000+ by year-end. </w:t>
      </w:r>
      <w:r>
        <w:rPr>
          <w:rFonts w:ascii="Calibri" w:hAnsi="Calibri"/>
          <w:color w:val="525866"/>
          <w:sz w:val="22"/>
        </w:rPr>
        <w:t>Implication: Positive for Q3 margin trajectory; refresher launch is a Q3 comp catalyst.</w:t>
      </w:r>
    </w:p>
    <w:p>
      <w:pPr>
        <w:pStyle w:val="ListBullet"/>
        <w:ind w:left="360" w:hanging="360"/>
      </w:pPr>
      <w:r>
        <w:rPr>
          <w:rFonts w:ascii="Calibri" w:hAnsi="Calibri"/>
          <w:b/>
          <w:color w:val="525866"/>
          <w:sz w:val="22"/>
        </w:rPr>
        <w:t xml:space="preserve">June 9, 2026 — Evercore Consumer &amp; Retail Conference: </w:t>
      </w:r>
      <w:r>
        <w:rPr>
          <w:rFonts w:ascii="Calibri" w:hAnsi="Calibri"/>
          <w:color w:val="525866"/>
          <w:sz w:val="22"/>
        </w:rPr>
        <w:t xml:space="preserve">CEO provided geographic specificity on U.S. unit growth (middle of country under-penetrated; Nashville cited as example). Confirmed path to full $2B cost savings within 12–18 months. Named collagen and creatine as future wellness platform additions. </w:t>
      </w:r>
      <w:r>
        <w:rPr>
          <w:rFonts w:ascii="Calibri" w:hAnsi="Calibri"/>
          <w:color w:val="525866"/>
          <w:sz w:val="22"/>
        </w:rPr>
        <w:t>Implication: Long-term unit growth story gaining credibility; wellness platform expansion is a multi-year revenue driver not in near-term estimates.</w:t>
      </w:r>
    </w:p>
    <w:p>
      <w:pPr>
        <w:pStyle w:val="ListBullet"/>
        <w:ind w:left="360" w:hanging="360"/>
      </w:pPr>
      <w:r>
        <w:rPr>
          <w:rFonts w:ascii="Calibri" w:hAnsi="Calibri"/>
          <w:b/>
          <w:color w:val="525866"/>
          <w:sz w:val="22"/>
        </w:rPr>
        <w:t xml:space="preserve">June 16, 2026 — Blue Coconut Refresher Launch: </w:t>
      </w:r>
      <w:r>
        <w:rPr>
          <w:rFonts w:ascii="Calibri" w:hAnsi="Calibri"/>
          <w:color w:val="525866"/>
          <w:sz w:val="22"/>
        </w:rPr>
        <w:t xml:space="preserve">SBUX launched the Blue Coconut Refresher (Blue Spirulina-based, with coconut, strawberry, and acaí flavors) and Iced Blue Coconut Matcha, expanding the refresher platform from two to three core drinks. The refresher platform is described as a "multi-billion dollar business." </w:t>
      </w:r>
      <w:r>
        <w:rPr>
          <w:rFonts w:ascii="Calibri" w:hAnsi="Calibri"/>
          <w:color w:val="525866"/>
          <w:sz w:val="22"/>
        </w:rPr>
        <w:t>Implication: New platform launch in Q3 is a direct comp catalyst; expands the afternoon daypart opportunity and competes with BROS's energy/refresher offerings.</w:t>
      </w:r>
    </w:p>
    <w:p>
      <w:pPr>
        <w:pStyle w:val="ListBullet"/>
        <w:ind w:left="360" w:hanging="360"/>
      </w:pPr>
      <w:r>
        <w:rPr>
          <w:rFonts w:ascii="Calibri" w:hAnsi="Calibri"/>
          <w:b/>
          <w:color w:val="525866"/>
          <w:sz w:val="22"/>
        </w:rPr>
        <w:t xml:space="preserve">Ongoing — Scheduled Order Pickup Feature (May Rollout): </w:t>
      </w:r>
      <w:r>
        <w:rPr>
          <w:rFonts w:ascii="Calibri" w:hAnsi="Calibri"/>
          <w:color w:val="525866"/>
          <w:sz w:val="22"/>
        </w:rPr>
        <w:t xml:space="preserve">SBUX rolled out a new app feature allowing customers to schedule order pickup times, expected to improve mobile order predictability and reduce peak congestion. </w:t>
      </w:r>
      <w:r>
        <w:rPr>
          <w:rFonts w:ascii="Calibri" w:hAnsi="Calibri"/>
          <w:color w:val="525866"/>
          <w:sz w:val="22"/>
        </w:rPr>
        <w:t>Implication: Throughput improvement is a Q3 transaction capacity enabler; reduces friction for mobile order customers.</w:t>
      </w:r>
    </w:p>
    <w:p>
      <w:pPr>
        <w:pStyle w:val="ListBullet"/>
        <w:ind w:left="360" w:hanging="360"/>
      </w:pPr>
      <w:r>
        <w:rPr>
          <w:rFonts w:ascii="Calibri" w:hAnsi="Calibri"/>
          <w:b/>
          <w:color w:val="525866"/>
          <w:sz w:val="22"/>
        </w:rPr>
        <w:t xml:space="preserve">Ongoing — Store Uplift Program Acceleration: </w:t>
      </w:r>
      <w:r>
        <w:rPr>
          <w:rFonts w:ascii="Calibri" w:hAnsi="Calibri"/>
          <w:color w:val="525866"/>
          <w:sz w:val="22"/>
        </w:rPr>
        <w:t xml:space="preserve">~700 store uplifts completed as of May 2026 (vs. ~600 at prior Bernstein), targeting 1,000+ by fiscal year-end and 2,000–3,000 in FY2027. Each uplift costs ~$150K (vs. millions for prior remodel programs) with zero closure days. Original 650 Green Apron Service rollout stores are outcomping the system by 2 points. </w:t>
      </w:r>
      <w:r>
        <w:rPr>
          <w:rFonts w:ascii="Calibri" w:hAnsi="Calibri"/>
          <w:color w:val="525866"/>
          <w:sz w:val="22"/>
        </w:rPr>
        <w:t>Implication: Accelerating uplift program is a structural comp tailwind that compounds through FY2027–28.</w:t>
      </w:r>
    </w:p>
    <w:p>
      <w:pPr>
        <w:pStyle w:val="ListBullet"/>
        <w:ind w:left="360" w:hanging="360"/>
      </w:pPr>
      <w:r>
        <w:rPr>
          <w:rFonts w:ascii="Calibri" w:hAnsi="Calibri"/>
          <w:b/>
          <w:color w:val="525866"/>
          <w:sz w:val="22"/>
        </w:rPr>
        <w:t xml:space="preserve">Ongoing — Supply Chain Transformation: </w:t>
      </w:r>
      <w:r>
        <w:rPr>
          <w:rFonts w:ascii="Calibri" w:hAnsi="Calibri"/>
          <w:color w:val="525866"/>
          <w:sz w:val="22"/>
        </w:rPr>
        <w:t xml:space="preserve">Daily deliveries currently reach ~60% of stores on a 72-hour replenishment cycle; management targets daily deliveries in all stores with a 24-hour replenishment system by fiscal year-end. </w:t>
      </w:r>
      <w:r>
        <w:rPr>
          <w:rFonts w:ascii="Calibri" w:hAnsi="Calibri"/>
          <w:color w:val="525866"/>
          <w:sz w:val="22"/>
        </w:rPr>
        <w:t>Implication: Supply chain improvement is a Q4 FY2026 and FY2027 catalyst for food in-stock levels, afternoon daypart, and back-of-house efficiency — not yet fully in Q3 numbers.</w:t>
      </w:r>
    </w:p>
    <w:p>
      <w:pPr>
        <w:pStyle w:val="ListBullet"/>
        <w:ind w:left="360" w:hanging="360"/>
      </w:pPr>
      <w:r>
        <w:rPr>
          <w:rFonts w:ascii="Calibri" w:hAnsi="Calibri"/>
          <w:b/>
          <w:color w:val="525866"/>
          <w:sz w:val="22"/>
        </w:rPr>
        <w:t xml:space="preserve">Ongoing — Starbucks Rewards Relaunch (March 2026): </w:t>
      </w:r>
      <w:r>
        <w:rPr>
          <w:rFonts w:ascii="Calibri" w:hAnsi="Calibri"/>
          <w:color w:val="525866"/>
          <w:sz w:val="22"/>
        </w:rPr>
        <w:t xml:space="preserve">The tiered rewards program launched March 10, 2026 drove membership to a record 35.6M active members in Q2, with sequential growth bucking typical seasonal declines. The lowest-tier redemption option has become the most-used reward. </w:t>
      </w:r>
      <w:r>
        <w:rPr>
          <w:rFonts w:ascii="Calibri" w:hAnsi="Calibri"/>
          <w:color w:val="525866"/>
          <w:sz w:val="22"/>
        </w:rPr>
        <w:t>Implication: Rewards momentum is a Q3 tailwind; the program is now in its second full quarter post-relaunch, with engagement metrics expected to continue building.</w:t>
      </w:r>
    </w:p>
    <w:p>
      <w:r>
        <w:br w:type="page"/>
      </w:r>
    </w:p>
    <w:p>
      <w:pPr>
        <w:pStyle w:val="Heading2"/>
      </w:pPr>
      <w:r>
        <w:rPr>
          <w:rFonts w:ascii="Calibri" w:hAnsi="Calibri"/>
          <w:b/>
          <w:color w:val="3B4259"/>
          <w:sz w:val="28"/>
        </w:rPr>
        <w:t>8. Insider Transaction Activity</w:t>
      </w:r>
    </w:p>
    <w:p>
      <w:r>
        <w:rPr>
          <w:rFonts w:ascii="Calibri" w:hAnsi="Calibri"/>
          <w:b/>
          <w:color w:val="525866"/>
          <w:sz w:val="22"/>
        </w:rPr>
        <w:t xml:space="preserve">Key Takeaway: </w:t>
      </w:r>
      <w:r>
        <w:rPr>
          <w:rFonts w:ascii="Calibri" w:hAnsi="Calibri"/>
          <w:color w:val="525866"/>
          <w:sz w:val="22"/>
        </w:rPr>
        <w:t xml:space="preserve">All insider transactions since the Q2 earnings date are sales, with Brady Brewer (CEO, International) conducting three 10b5-1 planned sales totaling ~5,046 shares and Sara Kelly (EVP, Chief Partner Officer) conducting one 10b5-1 planned sale and one tax-withholding transaction. </w:t>
      </w:r>
      <w:r>
        <w:rPr>
          <w:rFonts w:ascii="Calibri" w:hAnsi="Calibri"/>
          <w:color w:val="525866"/>
          <w:sz w:val="22"/>
        </w:rPr>
        <w:t>Nothing stands out as a discretionary or unusual signal — all sales are either 10b5-1 plan-driven or tax-withholding related, which are obligation-driven and carry no informational content about management's view of the stock.</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Name</w:t>
            </w:r>
          </w:p>
        </w:tc>
        <w:tc>
          <w:tcPr>
            <w:tcW w:type="dxa" w:w="1234"/>
            <w:shd w:val="clear" w:color="auto" w:fill="3B4259"/>
          </w:tcPr>
          <w:p>
            <w:r>
              <w:rPr>
                <w:rFonts w:ascii="Calibri" w:hAnsi="Calibri"/>
                <w:b/>
                <w:color w:val="FFFFFF"/>
                <w:sz w:val="22"/>
              </w:rPr>
              <w:t>Title</w:t>
            </w:r>
          </w:p>
        </w:tc>
        <w:tc>
          <w:tcPr>
            <w:tcW w:type="dxa" w:w="1234"/>
            <w:shd w:val="clear" w:color="auto" w:fill="3B4259"/>
          </w:tcPr>
          <w:p>
            <w:r>
              <w:rPr>
                <w:rFonts w:ascii="Calibri" w:hAnsi="Calibri"/>
                <w:b/>
                <w:color w:val="FFFFFF"/>
                <w:sz w:val="22"/>
              </w:rPr>
              <w:t>Transaction Type</w:t>
            </w:r>
          </w:p>
        </w:tc>
        <w:tc>
          <w:tcPr>
            <w:tcW w:type="dxa" w:w="1234"/>
            <w:shd w:val="clear" w:color="auto" w:fill="3B4259"/>
          </w:tcPr>
          <w:p>
            <w:r>
              <w:rPr>
                <w:rFonts w:ascii="Calibri" w:hAnsi="Calibri"/>
                <w:b/>
                <w:color w:val="FFFFFF"/>
                <w:sz w:val="22"/>
              </w:rPr>
              <w:t>Shares</w:t>
            </w:r>
          </w:p>
        </w:tc>
        <w:tc>
          <w:tcPr>
            <w:tcW w:type="dxa" w:w="1234"/>
            <w:shd w:val="clear" w:color="auto" w:fill="3B4259"/>
          </w:tcPr>
          <w:p>
            <w:r>
              <w:rPr>
                <w:rFonts w:ascii="Calibri" w:hAnsi="Calibri"/>
                <w:b/>
                <w:color w:val="FFFFFF"/>
                <w:sz w:val="22"/>
              </w:rPr>
              <w:t>Transaction Date</w:t>
            </w:r>
          </w:p>
        </w:tc>
        <w:tc>
          <w:tcPr>
            <w:tcW w:type="dxa" w:w="1234"/>
            <w:shd w:val="clear" w:color="auto" w:fill="3B4259"/>
          </w:tcPr>
          <w:p>
            <w:r>
              <w:rPr>
                <w:rFonts w:ascii="Calibri" w:hAnsi="Calibri"/>
                <w:b/>
                <w:color w:val="FFFFFF"/>
                <w:sz w:val="22"/>
              </w:rPr>
              <w:t>Filing Date</w:t>
            </w:r>
          </w:p>
        </w:tc>
        <w:tc>
          <w:tcPr>
            <w:tcW w:type="dxa" w:w="1234"/>
            <w:shd w:val="clear" w:color="auto" w:fill="3B4259"/>
          </w:tcPr>
          <w:p>
            <w:r>
              <w:rPr>
                <w:rFonts w:ascii="Calibri" w:hAnsi="Calibri"/>
                <w:b/>
                <w:color w:val="FFFFFF"/>
                <w:sz w:val="22"/>
              </w:rPr>
              <w:t>Note</w:t>
            </w:r>
          </w:p>
        </w:tc>
      </w:tr>
      <w:tr>
        <w:tc>
          <w:tcPr>
            <w:tcW w:type="dxa" w:w="1234"/>
          </w:tcPr>
          <w:p>
            <w:r>
              <w:rPr>
                <w:rFonts w:ascii="Calibri" w:hAnsi="Calibri"/>
                <w:sz w:val="22"/>
              </w:rPr>
              <w:t>Brady Brewer</w:t>
            </w:r>
          </w:p>
        </w:tc>
        <w:tc>
          <w:tcPr>
            <w:tcW w:type="dxa" w:w="1234"/>
          </w:tcPr>
          <w:p>
            <w:r>
              <w:rPr>
                <w:rFonts w:ascii="Calibri" w:hAnsi="Calibri"/>
                <w:sz w:val="22"/>
              </w:rPr>
              <w:t>CEO, International</w:t>
            </w:r>
          </w:p>
        </w:tc>
        <w:tc>
          <w:tcPr>
            <w:tcW w:type="dxa" w:w="1234"/>
          </w:tcPr>
          <w:p>
            <w:r>
              <w:rPr>
                <w:rFonts w:ascii="Calibri" w:hAnsi="Calibri"/>
                <w:sz w:val="22"/>
              </w:rPr>
              <w:t>10b5-1 Planned Sale</w:t>
            </w:r>
          </w:p>
        </w:tc>
        <w:tc>
          <w:tcPr>
            <w:tcW w:type="dxa" w:w="1234"/>
          </w:tcPr>
          <w:p>
            <w:r>
              <w:rPr>
                <w:rFonts w:ascii="Calibri" w:hAnsi="Calibri"/>
                <w:sz w:val="22"/>
              </w:rPr>
              <w:t>2,229 shares</w:t>
            </w:r>
          </w:p>
        </w:tc>
        <w:tc>
          <w:tcPr>
            <w:tcW w:type="dxa" w:w="1234"/>
          </w:tcPr>
          <w:p>
            <w:r>
              <w:rPr>
                <w:rFonts w:ascii="Calibri" w:hAnsi="Calibri"/>
                <w:sz w:val="22"/>
              </w:rPr>
              <w:t>July 6, 2026</w:t>
            </w:r>
          </w:p>
        </w:tc>
        <w:tc>
          <w:tcPr>
            <w:tcW w:type="dxa" w:w="1234"/>
          </w:tcPr>
          <w:p>
            <w:r>
              <w:rPr>
                <w:rFonts w:ascii="Calibri" w:hAnsi="Calibri"/>
                <w:sz w:val="22"/>
              </w:rPr>
              <w:t>July 8, 2026</w:t>
            </w:r>
          </w:p>
        </w:tc>
        <w:tc>
          <w:tcPr>
            <w:tcW w:type="dxa" w:w="1234"/>
          </w:tcPr>
          <w:p>
            <w:r>
              <w:rPr>
                <w:rFonts w:ascii="Calibri" w:hAnsi="Calibri"/>
                <w:sz w:val="22"/>
              </w:rPr>
              <w:t>Pre-scheduled 10b5-1 plan; no discretionary signal</w:t>
            </w:r>
          </w:p>
        </w:tc>
      </w:tr>
      <w:tr>
        <w:tc>
          <w:tcPr>
            <w:tcW w:type="dxa" w:w="1234"/>
          </w:tcPr>
          <w:p>
            <w:r>
              <w:rPr>
                <w:rFonts w:ascii="Calibri" w:hAnsi="Calibri"/>
                <w:sz w:val="22"/>
              </w:rPr>
              <w:t>Sara Kelly</w:t>
            </w:r>
          </w:p>
        </w:tc>
        <w:tc>
          <w:tcPr>
            <w:tcW w:type="dxa" w:w="1234"/>
          </w:tcPr>
          <w:p>
            <w:r>
              <w:rPr>
                <w:rFonts w:ascii="Calibri" w:hAnsi="Calibri"/>
                <w:sz w:val="22"/>
              </w:rPr>
              <w:t>EVP, Chief Partner Officer</w:t>
            </w:r>
          </w:p>
        </w:tc>
        <w:tc>
          <w:tcPr>
            <w:tcW w:type="dxa" w:w="1234"/>
          </w:tcPr>
          <w:p>
            <w:r>
              <w:rPr>
                <w:rFonts w:ascii="Calibri" w:hAnsi="Calibri"/>
                <w:sz w:val="22"/>
              </w:rPr>
              <w:t>Open Market Sale (Tax Withholding)</w:t>
            </w:r>
          </w:p>
        </w:tc>
        <w:tc>
          <w:tcPr>
            <w:tcW w:type="dxa" w:w="1234"/>
          </w:tcPr>
          <w:p>
            <w:r>
              <w:rPr>
                <w:rFonts w:ascii="Calibri" w:hAnsi="Calibri"/>
                <w:sz w:val="22"/>
              </w:rPr>
              <w:t>315.82 shares</w:t>
            </w:r>
          </w:p>
        </w:tc>
        <w:tc>
          <w:tcPr>
            <w:tcW w:type="dxa" w:w="1234"/>
          </w:tcPr>
          <w:p>
            <w:r>
              <w:rPr>
                <w:rFonts w:ascii="Calibri" w:hAnsi="Calibri"/>
                <w:sz w:val="22"/>
              </w:rPr>
              <w:t>June 15, 2026</w:t>
            </w:r>
          </w:p>
        </w:tc>
        <w:tc>
          <w:tcPr>
            <w:tcW w:type="dxa" w:w="1234"/>
          </w:tcPr>
          <w:p>
            <w:r>
              <w:rPr>
                <w:rFonts w:ascii="Calibri" w:hAnsi="Calibri"/>
                <w:sz w:val="22"/>
              </w:rPr>
              <w:t>June 17, 2026</w:t>
            </w:r>
          </w:p>
        </w:tc>
        <w:tc>
          <w:tcPr>
            <w:tcW w:type="dxa" w:w="1234"/>
          </w:tcPr>
          <w:p>
            <w:r>
              <w:rPr>
                <w:rFonts w:ascii="Calibri" w:hAnsi="Calibri"/>
                <w:sz w:val="22"/>
              </w:rPr>
              <w:t>Tax withholding on vesting (Form 4 code F); obligation-driven, not discretionary</w:t>
            </w:r>
          </w:p>
        </w:tc>
      </w:tr>
      <w:tr>
        <w:tc>
          <w:tcPr>
            <w:tcW w:type="dxa" w:w="1234"/>
          </w:tcPr>
          <w:p>
            <w:r>
              <w:rPr>
                <w:rFonts w:ascii="Calibri" w:hAnsi="Calibri"/>
                <w:sz w:val="22"/>
              </w:rPr>
              <w:t>Brady Brewer</w:t>
            </w:r>
          </w:p>
        </w:tc>
        <w:tc>
          <w:tcPr>
            <w:tcW w:type="dxa" w:w="1234"/>
          </w:tcPr>
          <w:p>
            <w:r>
              <w:rPr>
                <w:rFonts w:ascii="Calibri" w:hAnsi="Calibri"/>
                <w:sz w:val="22"/>
              </w:rPr>
              <w:t>CEO, International</w:t>
            </w:r>
          </w:p>
        </w:tc>
        <w:tc>
          <w:tcPr>
            <w:tcW w:type="dxa" w:w="1234"/>
          </w:tcPr>
          <w:p>
            <w:r>
              <w:rPr>
                <w:rFonts w:ascii="Calibri" w:hAnsi="Calibri"/>
                <w:sz w:val="22"/>
              </w:rPr>
              <w:t>10b5-1 Planned Sale</w:t>
            </w:r>
          </w:p>
        </w:tc>
        <w:tc>
          <w:tcPr>
            <w:tcW w:type="dxa" w:w="1234"/>
          </w:tcPr>
          <w:p>
            <w:r>
              <w:rPr>
                <w:rFonts w:ascii="Calibri" w:hAnsi="Calibri"/>
                <w:sz w:val="22"/>
              </w:rPr>
              <w:t>588 shares</w:t>
            </w:r>
          </w:p>
        </w:tc>
        <w:tc>
          <w:tcPr>
            <w:tcW w:type="dxa" w:w="1234"/>
          </w:tcPr>
          <w:p>
            <w:r>
              <w:rPr>
                <w:rFonts w:ascii="Calibri" w:hAnsi="Calibri"/>
                <w:sz w:val="22"/>
              </w:rPr>
              <w:t>June 11, 2026</w:t>
            </w:r>
          </w:p>
        </w:tc>
        <w:tc>
          <w:tcPr>
            <w:tcW w:type="dxa" w:w="1234"/>
          </w:tcPr>
          <w:p>
            <w:r>
              <w:rPr>
                <w:rFonts w:ascii="Calibri" w:hAnsi="Calibri"/>
                <w:sz w:val="22"/>
              </w:rPr>
              <w:t>June 15, 2026</w:t>
            </w:r>
          </w:p>
        </w:tc>
        <w:tc>
          <w:tcPr>
            <w:tcW w:type="dxa" w:w="1234"/>
          </w:tcPr>
          <w:p>
            <w:r>
              <w:rPr>
                <w:rFonts w:ascii="Calibri" w:hAnsi="Calibri"/>
                <w:sz w:val="22"/>
              </w:rPr>
              <w:t>Pre-scheduled 10b5-1 plan; no discretionary signal</w:t>
            </w:r>
          </w:p>
        </w:tc>
      </w:tr>
      <w:tr>
        <w:tc>
          <w:tcPr>
            <w:tcW w:type="dxa" w:w="1234"/>
          </w:tcPr>
          <w:p>
            <w:r>
              <w:rPr>
                <w:rFonts w:ascii="Calibri" w:hAnsi="Calibri"/>
                <w:sz w:val="22"/>
              </w:rPr>
              <w:t>Brady Brewer</w:t>
            </w:r>
          </w:p>
        </w:tc>
        <w:tc>
          <w:tcPr>
            <w:tcW w:type="dxa" w:w="1234"/>
          </w:tcPr>
          <w:p>
            <w:r>
              <w:rPr>
                <w:rFonts w:ascii="Calibri" w:hAnsi="Calibri"/>
                <w:sz w:val="22"/>
              </w:rPr>
              <w:t>CEO, International</w:t>
            </w:r>
          </w:p>
        </w:tc>
        <w:tc>
          <w:tcPr>
            <w:tcW w:type="dxa" w:w="1234"/>
          </w:tcPr>
          <w:p>
            <w:r>
              <w:rPr>
                <w:rFonts w:ascii="Calibri" w:hAnsi="Calibri"/>
                <w:sz w:val="22"/>
              </w:rPr>
              <w:t>10b5-1 Planned Sale</w:t>
            </w:r>
          </w:p>
        </w:tc>
        <w:tc>
          <w:tcPr>
            <w:tcW w:type="dxa" w:w="1234"/>
          </w:tcPr>
          <w:p>
            <w:r>
              <w:rPr>
                <w:rFonts w:ascii="Calibri" w:hAnsi="Calibri"/>
                <w:sz w:val="22"/>
              </w:rPr>
              <w:t>2,229 shares</w:t>
            </w:r>
          </w:p>
        </w:tc>
        <w:tc>
          <w:tcPr>
            <w:tcW w:type="dxa" w:w="1234"/>
          </w:tcPr>
          <w:p>
            <w:r>
              <w:rPr>
                <w:rFonts w:ascii="Calibri" w:hAnsi="Calibri"/>
                <w:sz w:val="22"/>
              </w:rPr>
              <w:t>May 5, 2026</w:t>
            </w:r>
          </w:p>
        </w:tc>
        <w:tc>
          <w:tcPr>
            <w:tcW w:type="dxa" w:w="1234"/>
          </w:tcPr>
          <w:p>
            <w:r>
              <w:rPr>
                <w:rFonts w:ascii="Calibri" w:hAnsi="Calibri"/>
                <w:sz w:val="22"/>
              </w:rPr>
              <w:t>May 7, 2026</w:t>
            </w:r>
          </w:p>
        </w:tc>
        <w:tc>
          <w:tcPr>
            <w:tcW w:type="dxa" w:w="1234"/>
          </w:tcPr>
          <w:p>
            <w:r>
              <w:rPr>
                <w:rFonts w:ascii="Calibri" w:hAnsi="Calibri"/>
                <w:sz w:val="22"/>
              </w:rPr>
              <w:t>Pre-scheduled 10b5-1 plan; no discretionary signal</w:t>
            </w:r>
          </w:p>
        </w:tc>
      </w:tr>
      <w:tr>
        <w:tc>
          <w:tcPr>
            <w:tcW w:type="dxa" w:w="1234"/>
          </w:tcPr>
          <w:p>
            <w:r>
              <w:rPr>
                <w:rFonts w:ascii="Calibri" w:hAnsi="Calibri"/>
                <w:sz w:val="22"/>
              </w:rPr>
              <w:t>Sara Kelly</w:t>
            </w:r>
          </w:p>
        </w:tc>
        <w:tc>
          <w:tcPr>
            <w:tcW w:type="dxa" w:w="1234"/>
          </w:tcPr>
          <w:p>
            <w:r>
              <w:rPr>
                <w:rFonts w:ascii="Calibri" w:hAnsi="Calibri"/>
                <w:sz w:val="22"/>
              </w:rPr>
              <w:t>EVP, Chief Partner Officer</w:t>
            </w:r>
          </w:p>
        </w:tc>
        <w:tc>
          <w:tcPr>
            <w:tcW w:type="dxa" w:w="1234"/>
          </w:tcPr>
          <w:p>
            <w:r>
              <w:rPr>
                <w:rFonts w:ascii="Calibri" w:hAnsi="Calibri"/>
                <w:sz w:val="22"/>
              </w:rPr>
              <w:t>10b5-1 Planned Sale</w:t>
            </w:r>
          </w:p>
        </w:tc>
        <w:tc>
          <w:tcPr>
            <w:tcW w:type="dxa" w:w="1234"/>
          </w:tcPr>
          <w:p>
            <w:r>
              <w:rPr>
                <w:rFonts w:ascii="Calibri" w:hAnsi="Calibri"/>
                <w:sz w:val="22"/>
              </w:rPr>
              <w:t>2,000 shares</w:t>
            </w:r>
          </w:p>
        </w:tc>
        <w:tc>
          <w:tcPr>
            <w:tcW w:type="dxa" w:w="1234"/>
          </w:tcPr>
          <w:p>
            <w:r>
              <w:rPr>
                <w:rFonts w:ascii="Calibri" w:hAnsi="Calibri"/>
                <w:sz w:val="22"/>
              </w:rPr>
              <w:t>April 29, 2026</w:t>
            </w:r>
          </w:p>
        </w:tc>
        <w:tc>
          <w:tcPr>
            <w:tcW w:type="dxa" w:w="1234"/>
          </w:tcPr>
          <w:p>
            <w:r>
              <w:rPr>
                <w:rFonts w:ascii="Calibri" w:hAnsi="Calibri"/>
                <w:sz w:val="22"/>
              </w:rPr>
              <w:t>April 30, 2026</w:t>
            </w:r>
          </w:p>
        </w:tc>
        <w:tc>
          <w:tcPr>
            <w:tcW w:type="dxa" w:w="1234"/>
          </w:tcPr>
          <w:p>
            <w:r>
              <w:rPr>
                <w:rFonts w:ascii="Calibri" w:hAnsi="Calibri"/>
                <w:sz w:val="22"/>
              </w:rPr>
              <w:t>Pre-scheduled 10b5-1 plan; executed day after Q2 earnings; no discretionary signal</w:t>
            </w:r>
          </w:p>
        </w:tc>
      </w:tr>
    </w:tbl>
    <w:p>
      <w:r>
        <w:rPr>
          <w:rFonts w:ascii="Calibri" w:hAnsi="Calibri"/>
          <w:color w:val="525866"/>
          <w:sz w:val="22"/>
        </w:rPr>
        <w:t>No open-market discretionary buys or sells were filed in the period. All transactions are either pre-scheduled 10b5-1 plan sales or tax-withholding transactions — both are obligation-driven and carry no informational content about management's view of the stock's near-term prospects. The absence of any discretionary open-market buying is notable but not unusual given the stock's recovery from depressed levels and the typical blackout period ahead of earnings. Insider transaction data sourced from SEC Form 4 filings.</w:t>
      </w:r>
    </w:p>
    <w:p>
      <w:r>
        <w:rPr>
          <w:rFonts w:ascii="Calibri" w:hAnsi="Calibri"/>
          <w:b/>
          <w:i/>
          <w:color w:val="525866"/>
          <w:sz w:val="22"/>
        </w:rPr>
        <w:t>— End of Report —</w:t>
      </w:r>
    </w:p>
    <w:p>
      <w:r>
        <w:rPr>
          <w:rFonts w:ascii="Calibri" w:hAnsi="Calibri"/>
          <w:b/>
          <w:color w:val="525866"/>
          <w:sz w:val="22"/>
        </w:rPr>
        <w:t xml:space="preserve">Data Sources: </w:t>
      </w:r>
      <w:r>
        <w:rPr>
          <w:rFonts w:ascii="Calibri" w:hAnsi="Calibri"/>
          <w:color w:val="525866"/>
          <w:sz w:val="22"/>
        </w:rPr>
        <w:t>Visible Alpha (consensus estimates and actuals); Yahoo Finance (stock price data); SEC Form 4 filings (insider transactions); SBUX Q2 FY2026 Earnings Call Transcript (April 28, 2026); SBUX Bernstein Strategic Decisions Conference Transcript (May 28, 2026); SBUX Evercore Consumer &amp; Retail Conference Transcript (June 9, 2026); SBUX 8-K (April 28, 2026); BROS Q1 2026 Earnings Call Transcript (May 6, 2026); BROS William Blair Growth Stock Conference Transcript (June 2, 2026); MCD Q1 2026 Earnings Call Transcript (May 7, 2026); QSR Q1 2026 Earnings Call Transcript (May 6, 2026); QSR Bernstein Strategic Decisions Conference Transcript (May 28, 2026); DPZ Q2 2026 Earnings Call Transcript (July 20, 2026); CMG Bernstein 42nd Annual Strategic Decisions Conference Transcript (May 28, 2026); YUM European Investor Conference Transcript (June 16, 2026).</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