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Starbucks Corporation (SBUX)</w:t>
      </w:r>
    </w:p>
    <w:p>
      <w:pPr>
        <w:pStyle w:val="Heading2"/>
      </w:pPr>
      <w:r>
        <w:rPr>
          <w:rFonts w:ascii="Calibri" w:hAnsi="Calibri"/>
          <w:b/>
          <w:color w:val="3B4259"/>
          <w:sz w:val="28"/>
        </w:rPr>
        <w:t>Q3 FY2026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SBUX</w:t>
            </w:r>
          </w:p>
        </w:tc>
        <w:tc>
          <w:tcPr>
            <w:tcW w:type="dxa" w:w="2160"/>
          </w:tcPr>
          <w:p>
            <w:r>
              <w:rPr>
                <w:rFonts w:ascii="Calibri" w:hAnsi="Calibri"/>
                <w:b/>
                <w:sz w:val="22"/>
              </w:rPr>
              <w:t>Earnings Date</w:t>
            </w:r>
          </w:p>
        </w:tc>
        <w:tc>
          <w:tcPr>
            <w:tcW w:type="dxa" w:w="2160"/>
          </w:tcPr>
          <w:p>
            <w:r>
              <w:rPr>
                <w:rFonts w:ascii="Calibri" w:hAnsi="Calibri"/>
                <w:sz w:val="22"/>
              </w:rPr>
              <w:t>July 29, 2026 (After Close)</w:t>
            </w:r>
          </w:p>
        </w:tc>
      </w:tr>
      <w:tr>
        <w:tc>
          <w:tcPr>
            <w:tcW w:type="dxa" w:w="2160"/>
          </w:tcPr>
          <w:p>
            <w:r>
              <w:rPr>
                <w:rFonts w:ascii="Calibri" w:hAnsi="Calibri"/>
                <w:b/>
                <w:sz w:val="22"/>
              </w:rPr>
              <w:t>Reporting Period</w:t>
            </w:r>
          </w:p>
        </w:tc>
        <w:tc>
          <w:tcPr>
            <w:tcW w:type="dxa" w:w="2160"/>
          </w:tcPr>
          <w:p>
            <w:r>
              <w:rPr>
                <w:rFonts w:ascii="Calibri" w:hAnsi="Calibri"/>
                <w:sz w:val="22"/>
              </w:rPr>
              <w:t>Q3 FY2026 (Quarter Ended June 30, 2026)</w:t>
            </w:r>
          </w:p>
        </w:tc>
        <w:tc>
          <w:tcPr>
            <w:tcW w:type="dxa" w:w="2160"/>
          </w:tcPr>
          <w:p>
            <w:r>
              <w:rPr>
                <w:rFonts w:ascii="Calibri" w:hAnsi="Calibri"/>
                <w:b/>
                <w:sz w:val="22"/>
              </w:rPr>
              <w:t>Prepared</w:t>
            </w:r>
          </w:p>
        </w:tc>
        <w:tc>
          <w:tcPr>
            <w:tcW w:type="dxa" w:w="2160"/>
          </w:tcPr>
          <w:p>
            <w:r>
              <w:rPr>
                <w:rFonts w:ascii="Calibri" w:hAnsi="Calibri"/>
                <w:sz w:val="22"/>
              </w:rPr>
              <w:t>July 28, 2026</w:t>
            </w:r>
          </w:p>
        </w:tc>
      </w:tr>
      <w:tr>
        <w:tc>
          <w:tcPr>
            <w:tcW w:type="dxa" w:w="2160"/>
          </w:tcPr>
          <w:p>
            <w:r>
              <w:rPr>
                <w:rFonts w:ascii="Calibri" w:hAnsi="Calibri"/>
                <w:b/>
                <w:sz w:val="22"/>
              </w:rPr>
              <w:t>Sector</w:t>
            </w:r>
          </w:p>
        </w:tc>
        <w:tc>
          <w:tcPr>
            <w:tcW w:type="dxa" w:w="2160"/>
          </w:tcPr>
          <w:p>
            <w:r>
              <w:rPr>
                <w:rFonts w:ascii="Calibri" w:hAnsi="Calibri"/>
                <w:sz w:val="22"/>
              </w:rPr>
              <w:t>Consumer Discretionary — Restaurants &amp; Specialty Retail</w:t>
            </w:r>
          </w:p>
        </w:tc>
        <w:tc>
          <w:tcPr>
            <w:tcW w:type="dxa" w:w="2160"/>
          </w:tcPr>
          <w:p>
            <w:r>
              <w:rPr>
                <w:rFonts w:ascii="Calibri" w:hAnsi="Calibri"/>
                <w:b/>
                <w:sz w:val="22"/>
              </w:rPr>
              <w:t>Sector ETF</w:t>
            </w:r>
          </w:p>
        </w:tc>
        <w:tc>
          <w:tcPr>
            <w:tcW w:type="dxa" w:w="2160"/>
          </w:tcPr>
          <w:p>
            <w:r>
              <w:rPr>
                <w:rFonts w:ascii="Calibri" w:hAnsi="Calibri"/>
                <w:sz w:val="22"/>
              </w:rPr>
              <w:t>XLY (Consumer Discretionary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constructive but not without risk — consensus is a manageable bar after Q2's blowout, and the single biggest swing factor is whether U.S. comparable-store sales momentum held above 5% through June as China deconsolidation reshapes the revenue line.</w:t>
      </w:r>
    </w:p>
    <w:p>
      <w:r>
        <w:rPr>
          <w:rFonts w:ascii="Calibri" w:hAnsi="Calibri"/>
          <w:b/>
          <w:color w:val="525866"/>
          <w:sz w:val="22"/>
        </w:rPr>
        <w:t xml:space="preserve">Bar: </w:t>
      </w:r>
      <w:r>
        <w:rPr>
          <w:rFonts w:ascii="Calibri" w:hAnsi="Calibri"/>
          <w:color w:val="525866"/>
          <w:sz w:val="22"/>
        </w:rPr>
        <w:t xml:space="preserve">Consensus sits at ~5.8% U.S. comp growth for Q3 FY2026 (Visible Alpha), a step down from Q2's 7.1% print but still a high bar relative to the broader QSR industry, which Domino's noted saw flat order counts in its own Q2. Management's raised guidance of "5% or better" U.S. comps for the full year implies the Street is modeling a slight deceleration from Q2's pace, which is achievable but not a gimme given macro uncertainty and elevated coffee/tariff costs that management flagged as headwinds through the first half. </w:t>
      </w:r>
    </w:p>
    <w:p>
      <w:r>
        <w:rPr>
          <w:rFonts w:ascii="Calibri" w:hAnsi="Calibri"/>
          <w:b/>
          <w:color w:val="525866"/>
          <w:sz w:val="22"/>
        </w:rPr>
        <w:t xml:space="preserve">Guidance/Tone: </w:t>
      </w:r>
      <w:r>
        <w:rPr>
          <w:rFonts w:ascii="Calibri" w:hAnsi="Calibri"/>
          <w:color w:val="525866"/>
          <w:sz w:val="22"/>
        </w:rPr>
        <w:t xml:space="preserve">Management's posture has shifted decisively from cautious to confident — the Q2 call declared "the turn in our turnaround," raised full-year EPS guidance to $2.25–$2.45 (from $2.15–$2.40), and noted positive comp trends continuing through April. The May 2026 $400M restructuring plan (8-K) and Bernstein conference commentary confirmed cost savings visibility is rising above the previously disclosed $800M high-visibility figure. The tone is the most bullish it has been since Brian Niccol's arrival. </w:t>
      </w:r>
    </w:p>
    <w:p>
      <w:r>
        <w:rPr>
          <w:rFonts w:ascii="Calibri" w:hAnsi="Calibri"/>
          <w:b/>
          <w:color w:val="525866"/>
          <w:sz w:val="22"/>
        </w:rPr>
        <w:t xml:space="preserve">Estimate Trajectory: </w:t>
      </w:r>
      <w:r>
        <w:rPr>
          <w:rFonts w:ascii="Calibri" w:hAnsi="Calibri"/>
          <w:color w:val="525866"/>
          <w:sz w:val="22"/>
        </w:rPr>
        <w:t xml:space="preserve">Q3 FY2026 EPS estimates have been remarkably stable since the Q2 print — moving from $0.647 on May 8 to $0.652 today (Visible Alpha), a ~+0.7% drift upward. Revenue estimates for Q3 have been essentially flat at ~$9.17–9.18B, reflecting the China deconsolidation impact (China revenues in the back half expected to be &lt;20% of prior reported levels). The gap between consensus and guidance is narrow, suggesting limited cushion if execution slips. </w:t>
      </w:r>
    </w:p>
    <w:p>
      <w:r>
        <w:rPr>
          <w:rFonts w:ascii="Calibri" w:hAnsi="Calibri"/>
          <w:b/>
          <w:color w:val="525866"/>
          <w:sz w:val="22"/>
        </w:rPr>
        <w:t xml:space="preserve">Stock Setup: </w:t>
      </w:r>
      <w:r>
        <w:rPr>
          <w:rFonts w:ascii="Calibri" w:hAnsi="Calibri"/>
          <w:color w:val="525866"/>
          <w:sz w:val="22"/>
        </w:rPr>
        <w:t xml:space="preserve">SBUX has returned +6.0% since the April 28 Q2 earnings date (vs. XLY -3.9%, S&amp;P 500 +4.1%), trading at ~35.8x NTM P/E and 21.9x NTM EV/EBITDA. The stock has given back some of its post-Q2 surge (peaked near $108 in mid-July) and sits at ~$103, suggesting the market has partially priced in continued turnaround progress but is not pricing in a blowout. The multiple is elevated relative to restaurant peers, implying the stock needs continued execution to hold. </w:t>
      </w:r>
    </w:p>
    <w:p>
      <w:r>
        <w:rPr>
          <w:rFonts w:ascii="Calibri" w:hAnsi="Calibri"/>
          <w:b/>
          <w:color w:val="525866"/>
          <w:sz w:val="22"/>
        </w:rPr>
        <w:t xml:space="preserve">Wildcard: </w:t>
      </w:r>
      <w:r>
        <w:rPr>
          <w:rFonts w:ascii="Calibri" w:hAnsi="Calibri"/>
          <w:color w:val="525866"/>
          <w:sz w:val="22"/>
        </w:rPr>
        <w:t xml:space="preserve">The biggest surprise risk is the </w:t>
      </w:r>
      <w:r>
        <w:rPr>
          <w:rFonts w:ascii="Calibri" w:hAnsi="Calibri"/>
          <w:b/>
          <w:color w:val="525866"/>
          <w:sz w:val="22"/>
        </w:rPr>
        <w:t>China JV deconsolidation impact on reported revenue</w:t>
      </w:r>
      <w:r>
        <w:rPr>
          <w:rFonts w:ascii="Calibri" w:hAnsi="Calibri"/>
          <w:color w:val="525866"/>
          <w:sz w:val="22"/>
        </w:rPr>
        <w:t xml:space="preserve"> — Q3 is the first quarter where China is fully deconsolidated, and the revenue line will look dramatically different (management guided China-related revenues at &lt;20% of prior reported levels). Any confusion around the revenue comparison or unexpected licensing economics could create noise. On the upside, the </w:t>
      </w:r>
      <w:r>
        <w:rPr>
          <w:rFonts w:ascii="Calibri" w:hAnsi="Calibri"/>
          <w:b/>
          <w:color w:val="525866"/>
          <w:sz w:val="22"/>
        </w:rPr>
        <w:t>afternoon daypart and refresher platform</w:t>
      </w:r>
      <w:r>
        <w:rPr>
          <w:rFonts w:ascii="Calibri" w:hAnsi="Calibri"/>
          <w:color w:val="525866"/>
          <w:sz w:val="22"/>
        </w:rPr>
        <w:t xml:space="preserve"> (energy refreshers and mango flavor launched in April "exceeded expectations") could drive a positive comp surprise if momentum accelerated through June.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 U.S. comp growth of ~5.8% is achievable given Q2's 7.1% print and management's "5%+" guidance, but North America operating margin remains the bigger swing factor given ongoing coffee/tariff headwinds and the first full quarter without China in the consolidated P&amp;L.</w:t>
      </w:r>
    </w:p>
    <w:p>
      <w:pPr>
        <w:pStyle w:val="Heading3"/>
      </w:pPr>
      <w:r>
        <w:rPr>
          <w:rFonts w:ascii="Calibri" w:hAnsi="Calibri"/>
          <w:b/>
          <w:color w:val="3B4259"/>
          <w:sz w:val="24"/>
        </w:rPr>
        <w:t>Table 1 — Q3 FY2026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FY2026 Actual (Last Quarter)</w:t>
            </w:r>
          </w:p>
        </w:tc>
        <w:tc>
          <w:tcPr>
            <w:tcW w:type="dxa" w:w="1234"/>
            <w:shd w:val="clear" w:color="auto" w:fill="3B4259"/>
          </w:tcPr>
          <w:p>
            <w:r>
              <w:rPr>
                <w:rFonts w:ascii="Calibri" w:hAnsi="Calibri"/>
                <w:b/>
                <w:color w:val="FFFFFF"/>
                <w:sz w:val="22"/>
              </w:rPr>
              <w:t>Q3 FY2025 Actual (Prior Year)</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Net Revenues ($B)</w:t>
            </w:r>
          </w:p>
        </w:tc>
        <w:tc>
          <w:tcPr>
            <w:tcW w:type="dxa" w:w="1234"/>
          </w:tcPr>
          <w:p>
            <w:r>
              <w:rPr>
                <w:rFonts w:ascii="Calibri" w:hAnsi="Calibri"/>
                <w:sz w:val="22"/>
              </w:rPr>
              <w:t>$9.53B</w:t>
            </w:r>
          </w:p>
        </w:tc>
        <w:tc>
          <w:tcPr>
            <w:tcW w:type="dxa" w:w="1234"/>
          </w:tcPr>
          <w:p>
            <w:r>
              <w:rPr>
                <w:rFonts w:ascii="Calibri" w:hAnsi="Calibri"/>
                <w:sz w:val="22"/>
              </w:rPr>
              <w:t>$9.46B</w:t>
            </w:r>
          </w:p>
        </w:tc>
        <w:tc>
          <w:tcPr>
            <w:tcW w:type="dxa" w:w="1234"/>
          </w:tcPr>
          <w:p>
            <w:r>
              <w:rPr>
                <w:rFonts w:ascii="Calibri" w:hAnsi="Calibri"/>
                <w:sz w:val="22"/>
              </w:rPr>
              <w:t>$9.17B</w:t>
            </w:r>
          </w:p>
        </w:tc>
        <w:tc>
          <w:tcPr>
            <w:tcW w:type="dxa" w:w="1234"/>
          </w:tcPr>
          <w:p>
            <w:r>
              <w:rPr>
                <w:rFonts w:ascii="Calibri" w:hAnsi="Calibri"/>
                <w:sz w:val="22"/>
              </w:rPr>
              <w:t>-3.0% YoY (China deconsolidation)</w:t>
            </w:r>
          </w:p>
        </w:tc>
        <w:tc>
          <w:tcPr>
            <w:tcW w:type="dxa" w:w="1234"/>
          </w:tcPr>
          <w:p>
            <w:r>
              <w:rPr>
                <w:rFonts w:ascii="Calibri" w:hAnsi="Calibri"/>
                <w:sz w:val="22"/>
              </w:rPr>
              <w:t>Roughly flat YoY (FY)</w:t>
            </w:r>
          </w:p>
        </w:tc>
        <w:tc>
          <w:tcPr>
            <w:tcW w:type="dxa" w:w="1234"/>
          </w:tcPr>
          <w:p>
            <w:r>
              <w:rPr>
                <w:rFonts w:ascii="Calibri" w:hAnsi="Calibri"/>
                <w:sz w:val="22"/>
              </w:rPr>
              <w:t>N/A (FY guidance only)</w:t>
            </w:r>
          </w:p>
        </w:tc>
      </w:tr>
      <w:tr>
        <w:tc>
          <w:tcPr>
            <w:tcW w:type="dxa" w:w="1234"/>
          </w:tcPr>
          <w:p>
            <w:r>
              <w:rPr>
                <w:rFonts w:ascii="Calibri" w:hAnsi="Calibri"/>
                <w:sz w:val="22"/>
              </w:rPr>
              <w:t>EPS — Diluted, Operating ($)</w:t>
            </w:r>
          </w:p>
        </w:tc>
        <w:tc>
          <w:tcPr>
            <w:tcW w:type="dxa" w:w="1234"/>
          </w:tcPr>
          <w:p>
            <w:r>
              <w:rPr>
                <w:rFonts w:ascii="Calibri" w:hAnsi="Calibri"/>
                <w:sz w:val="22"/>
              </w:rPr>
              <w:t>$0.50</w:t>
            </w:r>
          </w:p>
        </w:tc>
        <w:tc>
          <w:tcPr>
            <w:tcW w:type="dxa" w:w="1234"/>
          </w:tcPr>
          <w:p>
            <w:r>
              <w:rPr>
                <w:rFonts w:ascii="Calibri" w:hAnsi="Calibri"/>
                <w:sz w:val="22"/>
              </w:rPr>
              <w:t>$0.498</w:t>
            </w:r>
          </w:p>
        </w:tc>
        <w:tc>
          <w:tcPr>
            <w:tcW w:type="dxa" w:w="1234"/>
          </w:tcPr>
          <w:p>
            <w:r>
              <w:rPr>
                <w:rFonts w:ascii="Calibri" w:hAnsi="Calibri"/>
                <w:sz w:val="22"/>
              </w:rPr>
              <w:t>$0.652</w:t>
            </w:r>
          </w:p>
        </w:tc>
        <w:tc>
          <w:tcPr>
            <w:tcW w:type="dxa" w:w="1234"/>
          </w:tcPr>
          <w:p>
            <w:r>
              <w:rPr>
                <w:rFonts w:ascii="Calibri" w:hAnsi="Calibri"/>
                <w:sz w:val="22"/>
              </w:rPr>
              <w:t>+30.9% YoY</w:t>
            </w:r>
          </w:p>
        </w:tc>
        <w:tc>
          <w:tcPr>
            <w:tcW w:type="dxa" w:w="1234"/>
          </w:tcPr>
          <w:p>
            <w:r>
              <w:rPr>
                <w:rFonts w:ascii="Calibri" w:hAnsi="Calibri"/>
                <w:sz w:val="22"/>
              </w:rPr>
              <w:t>$2.25–$2.45 (FY)</w:t>
            </w:r>
          </w:p>
        </w:tc>
        <w:tc>
          <w:tcPr>
            <w:tcW w:type="dxa" w:w="1234"/>
          </w:tcPr>
          <w:p>
            <w:r>
              <w:rPr>
                <w:rFonts w:ascii="Calibri" w:hAnsi="Calibri"/>
                <w:sz w:val="22"/>
              </w:rPr>
              <w:t>~+0.3% above midpoint ($2.35)</w:t>
            </w:r>
          </w:p>
        </w:tc>
      </w:tr>
      <w:tr>
        <w:tc>
          <w:tcPr>
            <w:tcW w:type="dxa" w:w="1234"/>
          </w:tcPr>
          <w:p>
            <w:r>
              <w:rPr>
                <w:rFonts w:ascii="Calibri" w:hAnsi="Calibri"/>
                <w:sz w:val="22"/>
              </w:rPr>
              <w:t>U.S. Same-Store Sales Growth (%)</w:t>
            </w:r>
          </w:p>
        </w:tc>
        <w:tc>
          <w:tcPr>
            <w:tcW w:type="dxa" w:w="1234"/>
          </w:tcPr>
          <w:p>
            <w:r>
              <w:rPr>
                <w:rFonts w:ascii="Calibri" w:hAnsi="Calibri"/>
                <w:sz w:val="22"/>
              </w:rPr>
              <w:t>+7.1%</w:t>
            </w:r>
          </w:p>
        </w:tc>
        <w:tc>
          <w:tcPr>
            <w:tcW w:type="dxa" w:w="1234"/>
          </w:tcPr>
          <w:p>
            <w:r>
              <w:rPr>
                <w:rFonts w:ascii="Calibri" w:hAnsi="Calibri"/>
                <w:sz w:val="22"/>
              </w:rPr>
              <w:t>-2.0%</w:t>
            </w:r>
          </w:p>
        </w:tc>
        <w:tc>
          <w:tcPr>
            <w:tcW w:type="dxa" w:w="1234"/>
          </w:tcPr>
          <w:p>
            <w:r>
              <w:rPr>
                <w:rFonts w:ascii="Calibri" w:hAnsi="Calibri"/>
                <w:sz w:val="22"/>
              </w:rPr>
              <w:t>+5.8%</w:t>
            </w:r>
          </w:p>
        </w:tc>
        <w:tc>
          <w:tcPr>
            <w:tcW w:type="dxa" w:w="1234"/>
          </w:tcPr>
          <w:p>
            <w:r>
              <w:rPr>
                <w:rFonts w:ascii="Calibri" w:hAnsi="Calibri"/>
                <w:sz w:val="22"/>
              </w:rPr>
              <w:t>+7.8 ppts YoY</w:t>
            </w:r>
          </w:p>
        </w:tc>
        <w:tc>
          <w:tcPr>
            <w:tcW w:type="dxa" w:w="1234"/>
          </w:tcPr>
          <w:p>
            <w:r>
              <w:rPr>
                <w:rFonts w:ascii="Calibri" w:hAnsi="Calibri"/>
                <w:sz w:val="22"/>
              </w:rPr>
              <w:t>5%+ (FY)</w:t>
            </w:r>
          </w:p>
        </w:tc>
        <w:tc>
          <w:tcPr>
            <w:tcW w:type="dxa" w:w="1234"/>
          </w:tcPr>
          <w:p>
            <w:r>
              <w:rPr>
                <w:rFonts w:ascii="Calibri" w:hAnsi="Calibri"/>
                <w:sz w:val="22"/>
              </w:rPr>
              <w:t>~+0.8 ppts above floor</w:t>
            </w:r>
          </w:p>
        </w:tc>
      </w:tr>
      <w:tr>
        <w:tc>
          <w:tcPr>
            <w:tcW w:type="dxa" w:w="1234"/>
          </w:tcPr>
          <w:p>
            <w:r>
              <w:rPr>
                <w:rFonts w:ascii="Calibri" w:hAnsi="Calibri"/>
                <w:sz w:val="22"/>
              </w:rPr>
              <w:t>U.S. SSS — Transaction Growth (%)</w:t>
            </w:r>
          </w:p>
        </w:tc>
        <w:tc>
          <w:tcPr>
            <w:tcW w:type="dxa" w:w="1234"/>
          </w:tcPr>
          <w:p>
            <w:r>
              <w:rPr>
                <w:rFonts w:ascii="Calibri" w:hAnsi="Calibri"/>
                <w:sz w:val="22"/>
              </w:rPr>
              <w:t>+4.3%</w:t>
            </w:r>
          </w:p>
        </w:tc>
        <w:tc>
          <w:tcPr>
            <w:tcW w:type="dxa" w:w="1234"/>
          </w:tcPr>
          <w:p>
            <w:r>
              <w:rPr>
                <w:rFonts w:ascii="Calibri" w:hAnsi="Calibri"/>
                <w:sz w:val="22"/>
              </w:rPr>
              <w:t>-4.0%</w:t>
            </w:r>
          </w:p>
        </w:tc>
        <w:tc>
          <w:tcPr>
            <w:tcW w:type="dxa" w:w="1234"/>
          </w:tcPr>
          <w:p>
            <w:r>
              <w:rPr>
                <w:rFonts w:ascii="Calibri" w:hAnsi="Calibri"/>
                <w:sz w:val="22"/>
              </w:rPr>
              <w:t>+3.8%</w:t>
            </w:r>
          </w:p>
        </w:tc>
        <w:tc>
          <w:tcPr>
            <w:tcW w:type="dxa" w:w="1234"/>
          </w:tcPr>
          <w:p>
            <w:r>
              <w:rPr>
                <w:rFonts w:ascii="Calibri" w:hAnsi="Calibri"/>
                <w:sz w:val="22"/>
              </w:rPr>
              <w:t>+7.8 ppts YoY</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Operating Income — Operating ($B)</w:t>
            </w:r>
          </w:p>
        </w:tc>
        <w:tc>
          <w:tcPr>
            <w:tcW w:type="dxa" w:w="1234"/>
          </w:tcPr>
          <w:p>
            <w:r>
              <w:rPr>
                <w:rFonts w:ascii="Calibri" w:hAnsi="Calibri"/>
                <w:sz w:val="22"/>
              </w:rPr>
              <w:t>$0.892B</w:t>
            </w:r>
          </w:p>
        </w:tc>
        <w:tc>
          <w:tcPr>
            <w:tcW w:type="dxa" w:w="1234"/>
          </w:tcPr>
          <w:p>
            <w:r>
              <w:rPr>
                <w:rFonts w:ascii="Calibri" w:hAnsi="Calibri"/>
                <w:sz w:val="22"/>
              </w:rPr>
              <w:t>$0.956B</w:t>
            </w:r>
          </w:p>
        </w:tc>
        <w:tc>
          <w:tcPr>
            <w:tcW w:type="dxa" w:w="1234"/>
          </w:tcPr>
          <w:p>
            <w:r>
              <w:rPr>
                <w:rFonts w:ascii="Calibri" w:hAnsi="Calibri"/>
                <w:sz w:val="22"/>
              </w:rPr>
              <w:t>$1.098B</w:t>
            </w:r>
          </w:p>
        </w:tc>
        <w:tc>
          <w:tcPr>
            <w:tcW w:type="dxa" w:w="1234"/>
          </w:tcPr>
          <w:p>
            <w:r>
              <w:rPr>
                <w:rFonts w:ascii="Calibri" w:hAnsi="Calibri"/>
                <w:sz w:val="22"/>
              </w:rPr>
              <w:t>+14.9% YoY</w:t>
            </w:r>
          </w:p>
        </w:tc>
        <w:tc>
          <w:tcPr>
            <w:tcW w:type="dxa" w:w="1234"/>
          </w:tcPr>
          <w:p>
            <w:r>
              <w:rPr>
                <w:rFonts w:ascii="Calibri" w:hAnsi="Calibri"/>
                <w:sz w:val="22"/>
              </w:rPr>
              <w:t>Slight YoY growth (FY margin)</w:t>
            </w:r>
          </w:p>
        </w:tc>
        <w:tc>
          <w:tcPr>
            <w:tcW w:type="dxa" w:w="1234"/>
          </w:tcPr>
          <w:p>
            <w:r>
              <w:rPr>
                <w:rFonts w:ascii="Calibri" w:hAnsi="Calibri"/>
                <w:sz w:val="22"/>
              </w:rPr>
              <w:t>N/A (FY guidance only)</w:t>
            </w:r>
          </w:p>
        </w:tc>
      </w:tr>
    </w:tbl>
    <w:p>
      <w:r>
        <w:rPr>
          <w:rFonts w:ascii="Calibri" w:hAnsi="Calibri"/>
          <w:i/>
          <w:color w:val="525866"/>
          <w:sz w:val="22"/>
        </w:rPr>
        <w:t>Source: Visible Alpha Consensus and Actuals Data. All consensus figures as of July 28, 2026. Q3 FY2026 = quarter ended June 30, 2026 (VA label: 3QFY-2026). Note: Q3 FY2026 revenue is expected to decline YoY due to China deconsolidation (JV closed April 2, 2026); management guided China-related revenues in the back half at &lt;20% of prior reported levels.</w:t>
      </w:r>
    </w:p>
    <w:p>
      <w:pPr>
        <w:pStyle w:val="Heading3"/>
      </w:pPr>
      <w:r>
        <w:rPr>
          <w:rFonts w:ascii="Calibri" w:hAnsi="Calibri"/>
          <w:b/>
          <w:color w:val="3B4259"/>
          <w:sz w:val="24"/>
        </w:rPr>
        <w:t>Table 2 — Beat/Miss History: Last 8 Quarters (Top 2 KPIs: U.S. SSS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FY2026</w:t>
            </w:r>
          </w:p>
        </w:tc>
        <w:tc>
          <w:tcPr>
            <w:tcW w:type="dxa" w:w="1440"/>
          </w:tcPr>
          <w:p>
            <w:r>
              <w:rPr>
                <w:rFonts w:ascii="Calibri" w:hAnsi="Calibri"/>
                <w:sz w:val="22"/>
              </w:rPr>
              <w:t>U.S. SSS (%)</w:t>
            </w:r>
          </w:p>
        </w:tc>
        <w:tc>
          <w:tcPr>
            <w:tcW w:type="dxa" w:w="1440"/>
          </w:tcPr>
          <w:p>
            <w:r>
              <w:rPr>
                <w:rFonts w:ascii="Calibri" w:hAnsi="Calibri"/>
                <w:sz w:val="22"/>
              </w:rPr>
              <w:t>+7.1%</w:t>
            </w:r>
          </w:p>
        </w:tc>
        <w:tc>
          <w:tcPr>
            <w:tcW w:type="dxa" w:w="1440"/>
          </w:tcPr>
          <w:p>
            <w:r>
              <w:rPr>
                <w:rFonts w:ascii="Calibri" w:hAnsi="Calibri"/>
                <w:sz w:val="22"/>
              </w:rPr>
              <w:t>+3.4%</w:t>
            </w:r>
          </w:p>
        </w:tc>
        <w:tc>
          <w:tcPr>
            <w:tcW w:type="dxa" w:w="1440"/>
          </w:tcPr>
          <w:p>
            <w:r>
              <w:rPr>
                <w:rFonts w:ascii="Calibri" w:hAnsi="Calibri"/>
                <w:sz w:val="22"/>
              </w:rPr>
              <w:t>+3.7 ppts</w:t>
            </w:r>
          </w:p>
        </w:tc>
        <w:tc>
          <w:tcPr>
            <w:tcW w:type="dxa" w:w="1440"/>
          </w:tcPr>
          <w:p>
            <w:r>
              <w:rPr>
                <w:rFonts w:ascii="Calibri" w:hAnsi="Calibri"/>
                <w:b/>
                <w:color w:val="30A46C"/>
                <w:sz w:val="22"/>
              </w:rPr>
              <w:t>BEAT</w:t>
            </w:r>
          </w:p>
        </w:tc>
      </w:tr>
      <w:tr>
        <w:tc>
          <w:tcPr>
            <w:tcW w:type="dxa" w:w="1440"/>
          </w:tcPr>
          <w:p>
            <w:r>
              <w:rPr>
                <w:rFonts w:ascii="Calibri" w:hAnsi="Calibri"/>
                <w:sz w:val="22"/>
              </w:rPr>
              <w:t>Q2 FY2026</w:t>
            </w:r>
          </w:p>
        </w:tc>
        <w:tc>
          <w:tcPr>
            <w:tcW w:type="dxa" w:w="1440"/>
          </w:tcPr>
          <w:p>
            <w:r>
              <w:rPr>
                <w:rFonts w:ascii="Calibri" w:hAnsi="Calibri"/>
                <w:sz w:val="22"/>
              </w:rPr>
              <w:t>Operating EPS ($)</w:t>
            </w:r>
          </w:p>
        </w:tc>
        <w:tc>
          <w:tcPr>
            <w:tcW w:type="dxa" w:w="1440"/>
          </w:tcPr>
          <w:p>
            <w:r>
              <w:rPr>
                <w:rFonts w:ascii="Calibri" w:hAnsi="Calibri"/>
                <w:sz w:val="22"/>
              </w:rPr>
              <w:t>$0.50</w:t>
            </w:r>
          </w:p>
        </w:tc>
        <w:tc>
          <w:tcPr>
            <w:tcW w:type="dxa" w:w="1440"/>
          </w:tcPr>
          <w:p>
            <w:r>
              <w:rPr>
                <w:rFonts w:ascii="Calibri" w:hAnsi="Calibri"/>
                <w:sz w:val="22"/>
              </w:rPr>
              <w:t>$0.416</w:t>
            </w:r>
          </w:p>
        </w:tc>
        <w:tc>
          <w:tcPr>
            <w:tcW w:type="dxa" w:w="1440"/>
          </w:tcPr>
          <w:p>
            <w:r>
              <w:rPr>
                <w:rFonts w:ascii="Calibri" w:hAnsi="Calibri"/>
                <w:sz w:val="22"/>
              </w:rPr>
              <w:t>+20.2%</w:t>
            </w:r>
          </w:p>
        </w:tc>
        <w:tc>
          <w:tcPr>
            <w:tcW w:type="dxa" w:w="1440"/>
          </w:tcPr>
          <w:p>
            <w:r>
              <w:rPr>
                <w:rFonts w:ascii="Calibri" w:hAnsi="Calibri"/>
                <w:b/>
                <w:color w:val="30A46C"/>
                <w:sz w:val="22"/>
              </w:rPr>
              <w:t>BEAT</w:t>
            </w:r>
          </w:p>
        </w:tc>
      </w:tr>
      <w:tr>
        <w:tc>
          <w:tcPr>
            <w:tcW w:type="dxa" w:w="1440"/>
          </w:tcPr>
          <w:p>
            <w:r>
              <w:rPr>
                <w:rFonts w:ascii="Calibri" w:hAnsi="Calibri"/>
                <w:sz w:val="22"/>
              </w:rPr>
              <w:t>Q1 FY2026</w:t>
            </w:r>
          </w:p>
        </w:tc>
        <w:tc>
          <w:tcPr>
            <w:tcW w:type="dxa" w:w="1440"/>
          </w:tcPr>
          <w:p>
            <w:r>
              <w:rPr>
                <w:rFonts w:ascii="Calibri" w:hAnsi="Calibri"/>
                <w:sz w:val="22"/>
              </w:rPr>
              <w:t>U.S. SSS (%)</w:t>
            </w:r>
          </w:p>
        </w:tc>
        <w:tc>
          <w:tcPr>
            <w:tcW w:type="dxa" w:w="1440"/>
          </w:tcPr>
          <w:p>
            <w:r>
              <w:rPr>
                <w:rFonts w:ascii="Calibri" w:hAnsi="Calibri"/>
                <w:sz w:val="22"/>
              </w:rPr>
              <w:t>+4.0%</w:t>
            </w:r>
          </w:p>
        </w:tc>
        <w:tc>
          <w:tcPr>
            <w:tcW w:type="dxa" w:w="1440"/>
          </w:tcPr>
          <w:p>
            <w:r>
              <w:rPr>
                <w:rFonts w:ascii="Calibri" w:hAnsi="Calibri"/>
                <w:sz w:val="22"/>
              </w:rPr>
              <w:t>+2.0%</w:t>
            </w:r>
          </w:p>
        </w:tc>
        <w:tc>
          <w:tcPr>
            <w:tcW w:type="dxa" w:w="1440"/>
          </w:tcPr>
          <w:p>
            <w:r>
              <w:rPr>
                <w:rFonts w:ascii="Calibri" w:hAnsi="Calibri"/>
                <w:sz w:val="22"/>
              </w:rPr>
              <w:t>+2.0 ppts</w:t>
            </w:r>
          </w:p>
        </w:tc>
        <w:tc>
          <w:tcPr>
            <w:tcW w:type="dxa" w:w="1440"/>
          </w:tcPr>
          <w:p>
            <w:r>
              <w:rPr>
                <w:rFonts w:ascii="Calibri" w:hAnsi="Calibri"/>
                <w:b/>
                <w:color w:val="30A46C"/>
                <w:sz w:val="22"/>
              </w:rPr>
              <w:t>BEAT</w:t>
            </w:r>
          </w:p>
        </w:tc>
      </w:tr>
      <w:tr>
        <w:tc>
          <w:tcPr>
            <w:tcW w:type="dxa" w:w="1440"/>
          </w:tcPr>
          <w:p>
            <w:r>
              <w:rPr>
                <w:rFonts w:ascii="Calibri" w:hAnsi="Calibri"/>
                <w:sz w:val="22"/>
              </w:rPr>
              <w:t>Q1 FY2026</w:t>
            </w:r>
          </w:p>
        </w:tc>
        <w:tc>
          <w:tcPr>
            <w:tcW w:type="dxa" w:w="1440"/>
          </w:tcPr>
          <w:p>
            <w:r>
              <w:rPr>
                <w:rFonts w:ascii="Calibri" w:hAnsi="Calibri"/>
                <w:sz w:val="22"/>
              </w:rPr>
              <w:t>Operating EPS ($)</w:t>
            </w:r>
          </w:p>
        </w:tc>
        <w:tc>
          <w:tcPr>
            <w:tcW w:type="dxa" w:w="1440"/>
          </w:tcPr>
          <w:p>
            <w:r>
              <w:rPr>
                <w:rFonts w:ascii="Calibri" w:hAnsi="Calibri"/>
                <w:sz w:val="22"/>
              </w:rPr>
              <w:t>$0.56</w:t>
            </w:r>
          </w:p>
        </w:tc>
        <w:tc>
          <w:tcPr>
            <w:tcW w:type="dxa" w:w="1440"/>
          </w:tcPr>
          <w:p>
            <w:r>
              <w:rPr>
                <w:rFonts w:ascii="Calibri" w:hAnsi="Calibri"/>
                <w:sz w:val="22"/>
              </w:rPr>
              <w:t>$0.586</w:t>
            </w:r>
          </w:p>
        </w:tc>
        <w:tc>
          <w:tcPr>
            <w:tcW w:type="dxa" w:w="1440"/>
          </w:tcPr>
          <w:p>
            <w:r>
              <w:rPr>
                <w:rFonts w:ascii="Calibri" w:hAnsi="Calibri"/>
                <w:sz w:val="22"/>
              </w:rPr>
              <w:t>-4.4%</w:t>
            </w:r>
          </w:p>
        </w:tc>
        <w:tc>
          <w:tcPr>
            <w:tcW w:type="dxa" w:w="1440"/>
          </w:tcPr>
          <w:p>
            <w:r>
              <w:rPr>
                <w:rFonts w:ascii="Calibri" w:hAnsi="Calibri"/>
                <w:b/>
                <w:color w:val="E5484D"/>
                <w:sz w:val="22"/>
              </w:rPr>
              <w:t>MISS</w:t>
            </w:r>
          </w:p>
        </w:tc>
      </w:tr>
      <w:tr>
        <w:tc>
          <w:tcPr>
            <w:tcW w:type="dxa" w:w="1440"/>
          </w:tcPr>
          <w:p>
            <w:r>
              <w:rPr>
                <w:rFonts w:ascii="Calibri" w:hAnsi="Calibri"/>
                <w:sz w:val="22"/>
              </w:rPr>
              <w:t>Q4 FY2025</w:t>
            </w:r>
          </w:p>
        </w:tc>
        <w:tc>
          <w:tcPr>
            <w:tcW w:type="dxa" w:w="1440"/>
          </w:tcPr>
          <w:p>
            <w:r>
              <w:rPr>
                <w:rFonts w:ascii="Calibri" w:hAnsi="Calibri"/>
                <w:sz w:val="22"/>
              </w:rPr>
              <w:t>U.S. SSS (%)</w:t>
            </w:r>
          </w:p>
        </w:tc>
        <w:tc>
          <w:tcPr>
            <w:tcW w:type="dxa" w:w="1440"/>
          </w:tcPr>
          <w:p>
            <w:r>
              <w:rPr>
                <w:rFonts w:ascii="Calibri" w:hAnsi="Calibri"/>
                <w:sz w:val="22"/>
              </w:rPr>
              <w:t>0.0%</w:t>
            </w:r>
          </w:p>
        </w:tc>
        <w:tc>
          <w:tcPr>
            <w:tcW w:type="dxa" w:w="1440"/>
          </w:tcPr>
          <w:p>
            <w:r>
              <w:rPr>
                <w:rFonts w:ascii="Calibri" w:hAnsi="Calibri"/>
                <w:sz w:val="22"/>
              </w:rPr>
              <w:t>-0.3%</w:t>
            </w:r>
          </w:p>
        </w:tc>
        <w:tc>
          <w:tcPr>
            <w:tcW w:type="dxa" w:w="1440"/>
          </w:tcPr>
          <w:p>
            <w:r>
              <w:rPr>
                <w:rFonts w:ascii="Calibri" w:hAnsi="Calibri"/>
                <w:sz w:val="22"/>
              </w:rPr>
              <w:t>+0.3 ppts</w:t>
            </w:r>
          </w:p>
        </w:tc>
        <w:tc>
          <w:tcPr>
            <w:tcW w:type="dxa" w:w="1440"/>
          </w:tcPr>
          <w:p>
            <w:r>
              <w:rPr>
                <w:rFonts w:ascii="Calibri" w:hAnsi="Calibri"/>
                <w:b/>
                <w:color w:val="30A46C"/>
                <w:sz w:val="22"/>
              </w:rPr>
              <w:t>BEAT</w:t>
            </w:r>
          </w:p>
        </w:tc>
      </w:tr>
      <w:tr>
        <w:tc>
          <w:tcPr>
            <w:tcW w:type="dxa" w:w="1440"/>
          </w:tcPr>
          <w:p>
            <w:r>
              <w:rPr>
                <w:rFonts w:ascii="Calibri" w:hAnsi="Calibri"/>
                <w:sz w:val="22"/>
              </w:rPr>
              <w:t>Q4 FY2025</w:t>
            </w:r>
          </w:p>
        </w:tc>
        <w:tc>
          <w:tcPr>
            <w:tcW w:type="dxa" w:w="1440"/>
          </w:tcPr>
          <w:p>
            <w:r>
              <w:rPr>
                <w:rFonts w:ascii="Calibri" w:hAnsi="Calibri"/>
                <w:sz w:val="22"/>
              </w:rPr>
              <w:t>Operating EPS ($)</w:t>
            </w:r>
          </w:p>
        </w:tc>
        <w:tc>
          <w:tcPr>
            <w:tcW w:type="dxa" w:w="1440"/>
          </w:tcPr>
          <w:p>
            <w:r>
              <w:rPr>
                <w:rFonts w:ascii="Calibri" w:hAnsi="Calibri"/>
                <w:sz w:val="22"/>
              </w:rPr>
              <w:t>$0.52</w:t>
            </w:r>
          </w:p>
        </w:tc>
        <w:tc>
          <w:tcPr>
            <w:tcW w:type="dxa" w:w="1440"/>
          </w:tcPr>
          <w:p>
            <w:r>
              <w:rPr>
                <w:rFonts w:ascii="Calibri" w:hAnsi="Calibri"/>
                <w:sz w:val="22"/>
              </w:rPr>
              <w:t>$0.553</w:t>
            </w:r>
          </w:p>
        </w:tc>
        <w:tc>
          <w:tcPr>
            <w:tcW w:type="dxa" w:w="1440"/>
          </w:tcPr>
          <w:p>
            <w:r>
              <w:rPr>
                <w:rFonts w:ascii="Calibri" w:hAnsi="Calibri"/>
                <w:sz w:val="22"/>
              </w:rPr>
              <w:t>-5.8%</w:t>
            </w:r>
          </w:p>
        </w:tc>
        <w:tc>
          <w:tcPr>
            <w:tcW w:type="dxa" w:w="1440"/>
          </w:tcPr>
          <w:p>
            <w:r>
              <w:rPr>
                <w:rFonts w:ascii="Calibri" w:hAnsi="Calibri"/>
                <w:b/>
                <w:color w:val="E5484D"/>
                <w:sz w:val="22"/>
              </w:rPr>
              <w:t>MISS</w:t>
            </w:r>
          </w:p>
        </w:tc>
      </w:tr>
      <w:tr>
        <w:tc>
          <w:tcPr>
            <w:tcW w:type="dxa" w:w="1440"/>
          </w:tcPr>
          <w:p>
            <w:r>
              <w:rPr>
                <w:rFonts w:ascii="Calibri" w:hAnsi="Calibri"/>
                <w:sz w:val="22"/>
              </w:rPr>
              <w:t>Q3 FY2025</w:t>
            </w:r>
          </w:p>
        </w:tc>
        <w:tc>
          <w:tcPr>
            <w:tcW w:type="dxa" w:w="1440"/>
          </w:tcPr>
          <w:p>
            <w:r>
              <w:rPr>
                <w:rFonts w:ascii="Calibri" w:hAnsi="Calibri"/>
                <w:sz w:val="22"/>
              </w:rPr>
              <w:t>U.S. SSS (%)</w:t>
            </w:r>
          </w:p>
        </w:tc>
        <w:tc>
          <w:tcPr>
            <w:tcW w:type="dxa" w:w="1440"/>
          </w:tcPr>
          <w:p>
            <w:r>
              <w:rPr>
                <w:rFonts w:ascii="Calibri" w:hAnsi="Calibri"/>
                <w:sz w:val="22"/>
              </w:rPr>
              <w:t>-2.0%</w:t>
            </w:r>
          </w:p>
        </w:tc>
        <w:tc>
          <w:tcPr>
            <w:tcW w:type="dxa" w:w="1440"/>
          </w:tcPr>
          <w:p>
            <w:r>
              <w:rPr>
                <w:rFonts w:ascii="Calibri" w:hAnsi="Calibri"/>
                <w:sz w:val="22"/>
              </w:rPr>
              <w:t>-2.3%</w:t>
            </w:r>
          </w:p>
        </w:tc>
        <w:tc>
          <w:tcPr>
            <w:tcW w:type="dxa" w:w="1440"/>
          </w:tcPr>
          <w:p>
            <w:r>
              <w:rPr>
                <w:rFonts w:ascii="Calibri" w:hAnsi="Calibri"/>
                <w:sz w:val="22"/>
              </w:rPr>
              <w:t>+0.3 ppts</w:t>
            </w:r>
          </w:p>
        </w:tc>
        <w:tc>
          <w:tcPr>
            <w:tcW w:type="dxa" w:w="1440"/>
          </w:tcPr>
          <w:p>
            <w:r>
              <w:rPr>
                <w:rFonts w:ascii="Calibri" w:hAnsi="Calibri"/>
                <w:b/>
                <w:color w:val="30A46C"/>
                <w:sz w:val="22"/>
              </w:rPr>
              <w:t>BEAT</w:t>
            </w:r>
          </w:p>
        </w:tc>
      </w:tr>
      <w:tr>
        <w:tc>
          <w:tcPr>
            <w:tcW w:type="dxa" w:w="1440"/>
          </w:tcPr>
          <w:p>
            <w:r>
              <w:rPr>
                <w:rFonts w:ascii="Calibri" w:hAnsi="Calibri"/>
                <w:sz w:val="22"/>
              </w:rPr>
              <w:t>Q3 FY2025</w:t>
            </w:r>
          </w:p>
        </w:tc>
        <w:tc>
          <w:tcPr>
            <w:tcW w:type="dxa" w:w="1440"/>
          </w:tcPr>
          <w:p>
            <w:r>
              <w:rPr>
                <w:rFonts w:ascii="Calibri" w:hAnsi="Calibri"/>
                <w:sz w:val="22"/>
              </w:rPr>
              <w:t>Operating EPS ($)</w:t>
            </w:r>
          </w:p>
        </w:tc>
        <w:tc>
          <w:tcPr>
            <w:tcW w:type="dxa" w:w="1440"/>
          </w:tcPr>
          <w:p>
            <w:r>
              <w:rPr>
                <w:rFonts w:ascii="Calibri" w:hAnsi="Calibri"/>
                <w:sz w:val="22"/>
              </w:rPr>
              <w:t>$0.498</w:t>
            </w:r>
          </w:p>
        </w:tc>
        <w:tc>
          <w:tcPr>
            <w:tcW w:type="dxa" w:w="1440"/>
          </w:tcPr>
          <w:p>
            <w:r>
              <w:rPr>
                <w:rFonts w:ascii="Calibri" w:hAnsi="Calibri"/>
                <w:sz w:val="22"/>
              </w:rPr>
              <w:t>$0.643</w:t>
            </w:r>
          </w:p>
        </w:tc>
        <w:tc>
          <w:tcPr>
            <w:tcW w:type="dxa" w:w="1440"/>
          </w:tcPr>
          <w:p>
            <w:r>
              <w:rPr>
                <w:rFonts w:ascii="Calibri" w:hAnsi="Calibri"/>
                <w:sz w:val="22"/>
              </w:rPr>
              <w:t>-22.6%</w:t>
            </w:r>
          </w:p>
        </w:tc>
        <w:tc>
          <w:tcPr>
            <w:tcW w:type="dxa" w:w="1440"/>
          </w:tcPr>
          <w:p>
            <w:r>
              <w:rPr>
                <w:rFonts w:ascii="Calibri" w:hAnsi="Calibri"/>
                <w:b/>
                <w:color w:val="E5484D"/>
                <w:sz w:val="22"/>
              </w:rPr>
              <w:t>MISS</w:t>
            </w:r>
          </w:p>
        </w:tc>
      </w:tr>
      <w:tr>
        <w:tc>
          <w:tcPr>
            <w:tcW w:type="dxa" w:w="1440"/>
          </w:tcPr>
          <w:p>
            <w:r>
              <w:rPr>
                <w:rFonts w:ascii="Calibri" w:hAnsi="Calibri"/>
                <w:sz w:val="22"/>
              </w:rPr>
              <w:t>Q2 FY2025</w:t>
            </w:r>
          </w:p>
        </w:tc>
        <w:tc>
          <w:tcPr>
            <w:tcW w:type="dxa" w:w="1440"/>
          </w:tcPr>
          <w:p>
            <w:r>
              <w:rPr>
                <w:rFonts w:ascii="Calibri" w:hAnsi="Calibri"/>
                <w:sz w:val="22"/>
              </w:rPr>
              <w:t>U.S. SSS (%)</w:t>
            </w:r>
          </w:p>
        </w:tc>
        <w:tc>
          <w:tcPr>
            <w:tcW w:type="dxa" w:w="1440"/>
          </w:tcPr>
          <w:p>
            <w:r>
              <w:rPr>
                <w:rFonts w:ascii="Calibri" w:hAnsi="Calibri"/>
                <w:sz w:val="22"/>
              </w:rPr>
              <w:t>-2.0%</w:t>
            </w:r>
          </w:p>
        </w:tc>
        <w:tc>
          <w:tcPr>
            <w:tcW w:type="dxa" w:w="1440"/>
          </w:tcPr>
          <w:p>
            <w:r>
              <w:rPr>
                <w:rFonts w:ascii="Calibri" w:hAnsi="Calibri"/>
                <w:sz w:val="22"/>
              </w:rPr>
              <w:t>-0.2%</w:t>
            </w:r>
          </w:p>
        </w:tc>
        <w:tc>
          <w:tcPr>
            <w:tcW w:type="dxa" w:w="1440"/>
          </w:tcPr>
          <w:p>
            <w:r>
              <w:rPr>
                <w:rFonts w:ascii="Calibri" w:hAnsi="Calibri"/>
                <w:sz w:val="22"/>
              </w:rPr>
              <w:t>-1.8 ppts</w:t>
            </w:r>
          </w:p>
        </w:tc>
        <w:tc>
          <w:tcPr>
            <w:tcW w:type="dxa" w:w="1440"/>
          </w:tcPr>
          <w:p>
            <w:r>
              <w:rPr>
                <w:rFonts w:ascii="Calibri" w:hAnsi="Calibri"/>
                <w:b/>
                <w:color w:val="E5484D"/>
                <w:sz w:val="22"/>
              </w:rPr>
              <w:t>MISS</w:t>
            </w:r>
          </w:p>
        </w:tc>
      </w:tr>
      <w:tr>
        <w:tc>
          <w:tcPr>
            <w:tcW w:type="dxa" w:w="1440"/>
          </w:tcPr>
          <w:p>
            <w:r>
              <w:rPr>
                <w:rFonts w:ascii="Calibri" w:hAnsi="Calibri"/>
                <w:sz w:val="22"/>
              </w:rPr>
              <w:t>Q2 FY2025</w:t>
            </w:r>
          </w:p>
        </w:tc>
        <w:tc>
          <w:tcPr>
            <w:tcW w:type="dxa" w:w="1440"/>
          </w:tcPr>
          <w:p>
            <w:r>
              <w:rPr>
                <w:rFonts w:ascii="Calibri" w:hAnsi="Calibri"/>
                <w:sz w:val="22"/>
              </w:rPr>
              <w:t>Operating EPS ($)</w:t>
            </w:r>
          </w:p>
        </w:tc>
        <w:tc>
          <w:tcPr>
            <w:tcW w:type="dxa" w:w="1440"/>
          </w:tcPr>
          <w:p>
            <w:r>
              <w:rPr>
                <w:rFonts w:ascii="Calibri" w:hAnsi="Calibri"/>
                <w:sz w:val="22"/>
              </w:rPr>
              <w:t>$0.41</w:t>
            </w:r>
          </w:p>
        </w:tc>
        <w:tc>
          <w:tcPr>
            <w:tcW w:type="dxa" w:w="1440"/>
          </w:tcPr>
          <w:p>
            <w:r>
              <w:rPr>
                <w:rFonts w:ascii="Calibri" w:hAnsi="Calibri"/>
                <w:sz w:val="22"/>
              </w:rPr>
              <w:t>$0.479</w:t>
            </w:r>
          </w:p>
        </w:tc>
        <w:tc>
          <w:tcPr>
            <w:tcW w:type="dxa" w:w="1440"/>
          </w:tcPr>
          <w:p>
            <w:r>
              <w:rPr>
                <w:rFonts w:ascii="Calibri" w:hAnsi="Calibri"/>
                <w:sz w:val="22"/>
              </w:rPr>
              <w:t>-14.4%</w:t>
            </w:r>
          </w:p>
        </w:tc>
        <w:tc>
          <w:tcPr>
            <w:tcW w:type="dxa" w:w="1440"/>
          </w:tcPr>
          <w:p>
            <w:r>
              <w:rPr>
                <w:rFonts w:ascii="Calibri" w:hAnsi="Calibri"/>
                <w:b/>
                <w:color w:val="E5484D"/>
                <w:sz w:val="22"/>
              </w:rPr>
              <w:t>MISS</w:t>
            </w:r>
          </w:p>
        </w:tc>
      </w:tr>
      <w:tr>
        <w:tc>
          <w:tcPr>
            <w:tcW w:type="dxa" w:w="1440"/>
          </w:tcPr>
          <w:p>
            <w:r>
              <w:rPr>
                <w:rFonts w:ascii="Calibri" w:hAnsi="Calibri"/>
                <w:sz w:val="22"/>
              </w:rPr>
              <w:t>Q1 FY2025</w:t>
            </w:r>
          </w:p>
        </w:tc>
        <w:tc>
          <w:tcPr>
            <w:tcW w:type="dxa" w:w="1440"/>
          </w:tcPr>
          <w:p>
            <w:r>
              <w:rPr>
                <w:rFonts w:ascii="Calibri" w:hAnsi="Calibri"/>
                <w:sz w:val="22"/>
              </w:rPr>
              <w:t>U.S. SSS (%)</w:t>
            </w:r>
          </w:p>
        </w:tc>
        <w:tc>
          <w:tcPr>
            <w:tcW w:type="dxa" w:w="1440"/>
          </w:tcPr>
          <w:p>
            <w:r>
              <w:rPr>
                <w:rFonts w:ascii="Calibri" w:hAnsi="Calibri"/>
                <w:sz w:val="22"/>
              </w:rPr>
              <w:t>-4.0%</w:t>
            </w:r>
          </w:p>
        </w:tc>
        <w:tc>
          <w:tcPr>
            <w:tcW w:type="dxa" w:w="1440"/>
          </w:tcPr>
          <w:p>
            <w:r>
              <w:rPr>
                <w:rFonts w:ascii="Calibri" w:hAnsi="Calibri"/>
                <w:sz w:val="22"/>
              </w:rPr>
              <w:t>-5.2%</w:t>
            </w:r>
          </w:p>
        </w:tc>
        <w:tc>
          <w:tcPr>
            <w:tcW w:type="dxa" w:w="1440"/>
          </w:tcPr>
          <w:p>
            <w:r>
              <w:rPr>
                <w:rFonts w:ascii="Calibri" w:hAnsi="Calibri"/>
                <w:sz w:val="22"/>
              </w:rPr>
              <w:t>+1.2 ppts</w:t>
            </w:r>
          </w:p>
        </w:tc>
        <w:tc>
          <w:tcPr>
            <w:tcW w:type="dxa" w:w="1440"/>
          </w:tcPr>
          <w:p>
            <w:r>
              <w:rPr>
                <w:rFonts w:ascii="Calibri" w:hAnsi="Calibri"/>
                <w:b/>
                <w:color w:val="30A46C"/>
                <w:sz w:val="22"/>
              </w:rPr>
              <w:t>BEAT</w:t>
            </w:r>
          </w:p>
        </w:tc>
      </w:tr>
      <w:tr>
        <w:tc>
          <w:tcPr>
            <w:tcW w:type="dxa" w:w="1440"/>
          </w:tcPr>
          <w:p>
            <w:r>
              <w:rPr>
                <w:rFonts w:ascii="Calibri" w:hAnsi="Calibri"/>
                <w:sz w:val="22"/>
              </w:rPr>
              <w:t>Q1 FY2025</w:t>
            </w:r>
          </w:p>
        </w:tc>
        <w:tc>
          <w:tcPr>
            <w:tcW w:type="dxa" w:w="1440"/>
          </w:tcPr>
          <w:p>
            <w:r>
              <w:rPr>
                <w:rFonts w:ascii="Calibri" w:hAnsi="Calibri"/>
                <w:sz w:val="22"/>
              </w:rPr>
              <w:t>Operating EPS ($)</w:t>
            </w:r>
          </w:p>
        </w:tc>
        <w:tc>
          <w:tcPr>
            <w:tcW w:type="dxa" w:w="1440"/>
          </w:tcPr>
          <w:p>
            <w:r>
              <w:rPr>
                <w:rFonts w:ascii="Calibri" w:hAnsi="Calibri"/>
                <w:sz w:val="22"/>
              </w:rPr>
              <w:t>$0.69</w:t>
            </w:r>
          </w:p>
        </w:tc>
        <w:tc>
          <w:tcPr>
            <w:tcW w:type="dxa" w:w="1440"/>
          </w:tcPr>
          <w:p>
            <w:r>
              <w:rPr>
                <w:rFonts w:ascii="Calibri" w:hAnsi="Calibri"/>
                <w:sz w:val="22"/>
              </w:rPr>
              <w:t>$0.666</w:t>
            </w:r>
          </w:p>
        </w:tc>
        <w:tc>
          <w:tcPr>
            <w:tcW w:type="dxa" w:w="1440"/>
          </w:tcPr>
          <w:p>
            <w:r>
              <w:rPr>
                <w:rFonts w:ascii="Calibri" w:hAnsi="Calibri"/>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Q4 FY2024</w:t>
            </w:r>
          </w:p>
        </w:tc>
        <w:tc>
          <w:tcPr>
            <w:tcW w:type="dxa" w:w="1440"/>
          </w:tcPr>
          <w:p>
            <w:r>
              <w:rPr>
                <w:rFonts w:ascii="Calibri" w:hAnsi="Calibri"/>
                <w:sz w:val="22"/>
              </w:rPr>
              <w:t>U.S. SSS (%)</w:t>
            </w:r>
          </w:p>
        </w:tc>
        <w:tc>
          <w:tcPr>
            <w:tcW w:type="dxa" w:w="1440"/>
          </w:tcPr>
          <w:p>
            <w:r>
              <w:rPr>
                <w:rFonts w:ascii="Calibri" w:hAnsi="Calibri"/>
                <w:sz w:val="22"/>
              </w:rPr>
              <w:t>-6.0%</w:t>
            </w:r>
          </w:p>
        </w:tc>
        <w:tc>
          <w:tcPr>
            <w:tcW w:type="dxa" w:w="1440"/>
          </w:tcPr>
          <w:p>
            <w:r>
              <w:rPr>
                <w:rFonts w:ascii="Calibri" w:hAnsi="Calibri"/>
                <w:sz w:val="22"/>
              </w:rPr>
              <w:t>-3.6%</w:t>
            </w:r>
          </w:p>
        </w:tc>
        <w:tc>
          <w:tcPr>
            <w:tcW w:type="dxa" w:w="1440"/>
          </w:tcPr>
          <w:p>
            <w:r>
              <w:rPr>
                <w:rFonts w:ascii="Calibri" w:hAnsi="Calibri"/>
                <w:sz w:val="22"/>
              </w:rPr>
              <w:t>-2.4 ppts</w:t>
            </w:r>
          </w:p>
        </w:tc>
        <w:tc>
          <w:tcPr>
            <w:tcW w:type="dxa" w:w="1440"/>
          </w:tcPr>
          <w:p>
            <w:r>
              <w:rPr>
                <w:rFonts w:ascii="Calibri" w:hAnsi="Calibri"/>
                <w:b/>
                <w:color w:val="E5484D"/>
                <w:sz w:val="22"/>
              </w:rPr>
              <w:t>MISS</w:t>
            </w:r>
          </w:p>
        </w:tc>
      </w:tr>
      <w:tr>
        <w:tc>
          <w:tcPr>
            <w:tcW w:type="dxa" w:w="1440"/>
          </w:tcPr>
          <w:p>
            <w:r>
              <w:rPr>
                <w:rFonts w:ascii="Calibri" w:hAnsi="Calibri"/>
                <w:sz w:val="22"/>
              </w:rPr>
              <w:t>Q4 FY2024</w:t>
            </w:r>
          </w:p>
        </w:tc>
        <w:tc>
          <w:tcPr>
            <w:tcW w:type="dxa" w:w="1440"/>
          </w:tcPr>
          <w:p>
            <w:r>
              <w:rPr>
                <w:rFonts w:ascii="Calibri" w:hAnsi="Calibri"/>
                <w:sz w:val="22"/>
              </w:rPr>
              <w:t>Operating EPS ($)</w:t>
            </w:r>
          </w:p>
        </w:tc>
        <w:tc>
          <w:tcPr>
            <w:tcW w:type="dxa" w:w="1440"/>
          </w:tcPr>
          <w:p>
            <w:r>
              <w:rPr>
                <w:rFonts w:ascii="Calibri" w:hAnsi="Calibri"/>
                <w:sz w:val="22"/>
              </w:rPr>
              <w:t>$0.80</w:t>
            </w:r>
          </w:p>
        </w:tc>
        <w:tc>
          <w:tcPr>
            <w:tcW w:type="dxa" w:w="1440"/>
          </w:tcPr>
          <w:p>
            <w:r>
              <w:rPr>
                <w:rFonts w:ascii="Calibri" w:hAnsi="Calibri"/>
                <w:sz w:val="22"/>
              </w:rPr>
              <w:t>$0.913</w:t>
            </w:r>
          </w:p>
        </w:tc>
        <w:tc>
          <w:tcPr>
            <w:tcW w:type="dxa" w:w="1440"/>
          </w:tcPr>
          <w:p>
            <w:r>
              <w:rPr>
                <w:rFonts w:ascii="Calibri" w:hAnsi="Calibri"/>
                <w:sz w:val="22"/>
              </w:rPr>
              <w:t>-12.4%</w:t>
            </w:r>
          </w:p>
        </w:tc>
        <w:tc>
          <w:tcPr>
            <w:tcW w:type="dxa" w:w="1440"/>
          </w:tcPr>
          <w:p>
            <w:r>
              <w:rPr>
                <w:rFonts w:ascii="Calibri" w:hAnsi="Calibri"/>
                <w:b/>
                <w:color w:val="E5484D"/>
                <w:sz w:val="22"/>
              </w:rPr>
              <w:t>MISS</w:t>
            </w:r>
          </w:p>
        </w:tc>
      </w:tr>
    </w:tbl>
    <w:p>
      <w:r>
        <w:rPr>
          <w:rFonts w:ascii="Calibri" w:hAnsi="Calibri"/>
          <w:i/>
          <w:color w:val="525866"/>
          <w:sz w:val="22"/>
        </w:rPr>
        <w:t xml:space="preserve">Source: Visible Alpha Consensus and Actuals Data. </w:t>
      </w:r>
      <w:r>
        <w:rPr>
          <w:rFonts w:ascii="Calibri" w:hAnsi="Calibri"/>
          <w:b/>
          <w:color w:val="525866"/>
          <w:sz w:val="22"/>
        </w:rPr>
        <w:t xml:space="preserve">Pattern: </w:t>
      </w:r>
      <w:r>
        <w:rPr>
          <w:rFonts w:ascii="Calibri" w:hAnsi="Calibri"/>
          <w:i/>
          <w:color w:val="525866"/>
          <w:sz w:val="22"/>
        </w:rPr>
        <w:t>SBUX has beaten U.S. SSS estimates in 5 of the last 8 quarters, with the two most recent quarters (Q1 and Q2 FY2026) both delivering meaningful beats as the Niccol turnaround gained traction; EPS beats have been more mixed, with the last two quarters showing a large beat (Q2) and a miss (Q1), reflecting the volatile margin environment.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raised materially since the Q2 print — both comp and EPS guidance moved up — and the May 2026 $400M restructuring plan represents the most significant post-earnings development, accelerating the cost savings timeline and adding non-cash charges that will flow through Q3 and Q4.</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Apr 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 (VA, Jul 28, 2026)</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Global Comp Sales Growth</w:t>
            </w:r>
          </w:p>
        </w:tc>
        <w:tc>
          <w:tcPr>
            <w:tcW w:type="dxa" w:w="1728"/>
          </w:tcPr>
          <w:p>
            <w:r>
              <w:rPr>
                <w:rFonts w:ascii="Calibri" w:hAnsi="Calibri"/>
                <w:sz w:val="22"/>
              </w:rPr>
              <w:t>5% or better</w:t>
            </w:r>
          </w:p>
        </w:tc>
        <w:tc>
          <w:tcPr>
            <w:tcW w:type="dxa" w:w="1728"/>
          </w:tcPr>
          <w:p>
            <w:r>
              <w:rPr>
                <w:rFonts w:ascii="Calibri" w:hAnsi="Calibri"/>
                <w:sz w:val="22"/>
              </w:rPr>
              <w:t>—</w:t>
            </w:r>
          </w:p>
        </w:tc>
        <w:tc>
          <w:tcPr>
            <w:tcW w:type="dxa" w:w="1728"/>
          </w:tcPr>
          <w:p>
            <w:r>
              <w:rPr>
                <w:rFonts w:ascii="Calibri" w:hAnsi="Calibri"/>
                <w:sz w:val="22"/>
              </w:rPr>
              <w:t>~5.3% (FY consensus)</w:t>
            </w:r>
          </w:p>
        </w:tc>
        <w:tc>
          <w:tcPr>
            <w:tcW w:type="dxa" w:w="1728"/>
          </w:tcPr>
          <w:p>
            <w:r>
              <w:rPr>
                <w:rFonts w:ascii="Calibri" w:hAnsi="Calibri"/>
                <w:sz w:val="22"/>
              </w:rPr>
              <w:t>Raised at Q2 earnings from prior guidance; no further revision post-earnings</w:t>
            </w:r>
          </w:p>
        </w:tc>
      </w:tr>
      <w:tr>
        <w:tc>
          <w:tcPr>
            <w:tcW w:type="dxa" w:w="1728"/>
          </w:tcPr>
          <w:p>
            <w:r>
              <w:rPr>
                <w:rFonts w:ascii="Calibri" w:hAnsi="Calibri"/>
                <w:sz w:val="22"/>
              </w:rPr>
              <w:t>FY2026 U.S. Comp Sales Growth</w:t>
            </w:r>
          </w:p>
        </w:tc>
        <w:tc>
          <w:tcPr>
            <w:tcW w:type="dxa" w:w="1728"/>
          </w:tcPr>
          <w:p>
            <w:r>
              <w:rPr>
                <w:rFonts w:ascii="Calibri" w:hAnsi="Calibri"/>
                <w:sz w:val="22"/>
              </w:rPr>
              <w:t>5% or better</w:t>
            </w:r>
          </w:p>
        </w:tc>
        <w:tc>
          <w:tcPr>
            <w:tcW w:type="dxa" w:w="1728"/>
          </w:tcPr>
          <w:p>
            <w:r>
              <w:rPr>
                <w:rFonts w:ascii="Calibri" w:hAnsi="Calibri"/>
                <w:sz w:val="22"/>
              </w:rPr>
              <w:t>—</w:t>
            </w:r>
          </w:p>
        </w:tc>
        <w:tc>
          <w:tcPr>
            <w:tcW w:type="dxa" w:w="1728"/>
          </w:tcPr>
          <w:p>
            <w:r>
              <w:rPr>
                <w:rFonts w:ascii="Calibri" w:hAnsi="Calibri"/>
                <w:sz w:val="22"/>
              </w:rPr>
              <w:t>~5.3% (FY consensus)</w:t>
            </w:r>
          </w:p>
        </w:tc>
        <w:tc>
          <w:tcPr>
            <w:tcW w:type="dxa" w:w="1728"/>
          </w:tcPr>
          <w:p>
            <w:r>
              <w:rPr>
                <w:rFonts w:ascii="Calibri" w:hAnsi="Calibri"/>
                <w:sz w:val="22"/>
              </w:rPr>
              <w:t>Raised at Q2 earnings; consensus tracking just above the floor</w:t>
            </w:r>
          </w:p>
        </w:tc>
      </w:tr>
      <w:tr>
        <w:tc>
          <w:tcPr>
            <w:tcW w:type="dxa" w:w="1728"/>
          </w:tcPr>
          <w:p>
            <w:r>
              <w:rPr>
                <w:rFonts w:ascii="Calibri" w:hAnsi="Calibri"/>
                <w:sz w:val="22"/>
              </w:rPr>
              <w:t>FY2026 Operating EPS</w:t>
            </w:r>
          </w:p>
        </w:tc>
        <w:tc>
          <w:tcPr>
            <w:tcW w:type="dxa" w:w="1728"/>
          </w:tcPr>
          <w:p>
            <w:r>
              <w:rPr>
                <w:rFonts w:ascii="Calibri" w:hAnsi="Calibri"/>
                <w:sz w:val="22"/>
              </w:rPr>
              <w:t>$2.25–$2.45</w:t>
            </w:r>
          </w:p>
        </w:tc>
        <w:tc>
          <w:tcPr>
            <w:tcW w:type="dxa" w:w="1728"/>
          </w:tcPr>
          <w:p>
            <w:r>
              <w:rPr>
                <w:rFonts w:ascii="Calibri" w:hAnsi="Calibri"/>
                <w:sz w:val="22"/>
              </w:rPr>
              <w:t>—</w:t>
            </w:r>
          </w:p>
        </w:tc>
        <w:tc>
          <w:tcPr>
            <w:tcW w:type="dxa" w:w="1728"/>
          </w:tcPr>
          <w:p>
            <w:r>
              <w:rPr>
                <w:rFonts w:ascii="Calibri" w:hAnsi="Calibri"/>
                <w:sz w:val="22"/>
              </w:rPr>
              <w:t>$2.397</w:t>
            </w:r>
          </w:p>
        </w:tc>
        <w:tc>
          <w:tcPr>
            <w:tcW w:type="dxa" w:w="1728"/>
          </w:tcPr>
          <w:p>
            <w:r>
              <w:rPr>
                <w:rFonts w:ascii="Calibri" w:hAnsi="Calibri"/>
                <w:sz w:val="22"/>
              </w:rPr>
              <w:t>Raised at Q2 earnings (from $2.15–$2.40); consensus near top of range; Bernstein conference (May 2026) CFO confirmed cost savings visibility rising above $800M</w:t>
            </w:r>
          </w:p>
        </w:tc>
      </w:tr>
      <w:tr>
        <w:tc>
          <w:tcPr>
            <w:tcW w:type="dxa" w:w="1728"/>
          </w:tcPr>
          <w:p>
            <w:r>
              <w:rPr>
                <w:rFonts w:ascii="Calibri" w:hAnsi="Calibri"/>
                <w:sz w:val="22"/>
              </w:rPr>
              <w:t>FY2026 Consolidated Net Revenues</w:t>
            </w:r>
          </w:p>
        </w:tc>
        <w:tc>
          <w:tcPr>
            <w:tcW w:type="dxa" w:w="1728"/>
          </w:tcPr>
          <w:p>
            <w:r>
              <w:rPr>
                <w:rFonts w:ascii="Calibri" w:hAnsi="Calibri"/>
                <w:sz w:val="22"/>
              </w:rPr>
              <w:t>Roughly flat YoY</w:t>
            </w:r>
          </w:p>
        </w:tc>
        <w:tc>
          <w:tcPr>
            <w:tcW w:type="dxa" w:w="1728"/>
          </w:tcPr>
          <w:p>
            <w:r>
              <w:rPr>
                <w:rFonts w:ascii="Calibri" w:hAnsi="Calibri"/>
                <w:sz w:val="22"/>
              </w:rPr>
              <w:t>—</w:t>
            </w:r>
          </w:p>
        </w:tc>
        <w:tc>
          <w:tcPr>
            <w:tcW w:type="dxa" w:w="1728"/>
          </w:tcPr>
          <w:p>
            <w:r>
              <w:rPr>
                <w:rFonts w:ascii="Calibri" w:hAnsi="Calibri"/>
                <w:sz w:val="22"/>
              </w:rPr>
              <w:t>$37.84B</w:t>
            </w:r>
          </w:p>
        </w:tc>
        <w:tc>
          <w:tcPr>
            <w:tcW w:type="dxa" w:w="1728"/>
          </w:tcPr>
          <w:p>
            <w:r>
              <w:rPr>
                <w:rFonts w:ascii="Calibri" w:hAnsi="Calibri"/>
                <w:sz w:val="22"/>
              </w:rPr>
              <w:t>China deconsolidation (JV closed Apr 2) reduces back-half revenues to &lt;20% of prior reported China levels; consensus reflects this</w:t>
            </w:r>
          </w:p>
        </w:tc>
      </w:tr>
      <w:tr>
        <w:tc>
          <w:tcPr>
            <w:tcW w:type="dxa" w:w="1728"/>
          </w:tcPr>
          <w:p>
            <w:r>
              <w:rPr>
                <w:rFonts w:ascii="Calibri" w:hAnsi="Calibri"/>
                <w:sz w:val="22"/>
              </w:rPr>
              <w:t>FY2026 Consolidated Operating Margin</w:t>
            </w:r>
          </w:p>
        </w:tc>
        <w:tc>
          <w:tcPr>
            <w:tcW w:type="dxa" w:w="1728"/>
          </w:tcPr>
          <w:p>
            <w:r>
              <w:rPr>
                <w:rFonts w:ascii="Calibri" w:hAnsi="Calibri"/>
                <w:sz w:val="22"/>
              </w:rPr>
              <w:t>Slight YoY growth</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Coffee/tariff headwinds expected to ease in back half; China JV margin accretive (~50% of licensing revenues flow to OI)</w:t>
            </w:r>
          </w:p>
        </w:tc>
      </w:tr>
      <w:tr>
        <w:tc>
          <w:tcPr>
            <w:tcW w:type="dxa" w:w="1728"/>
          </w:tcPr>
          <w:p>
            <w:r>
              <w:rPr>
                <w:rFonts w:ascii="Calibri" w:hAnsi="Calibri"/>
                <w:sz w:val="22"/>
              </w:rPr>
              <w:t>FY2026 Net New Coffeehouses</w:t>
            </w:r>
          </w:p>
        </w:tc>
        <w:tc>
          <w:tcPr>
            <w:tcW w:type="dxa" w:w="1728"/>
          </w:tcPr>
          <w:p>
            <w:r>
              <w:rPr>
                <w:rFonts w:ascii="Calibri" w:hAnsi="Calibri"/>
                <w:sz w:val="22"/>
              </w:rPr>
              <w:t>600–650 net new globally; 150–175 U.S. company-operated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store uplift program targeting &gt;1,000 completions by FY-end</w:t>
            </w:r>
          </w:p>
        </w:tc>
      </w:tr>
      <w:tr>
        <w:tc>
          <w:tcPr>
            <w:tcW w:type="dxa" w:w="1728"/>
          </w:tcPr>
          <w:p>
            <w:r>
              <w:rPr>
                <w:rFonts w:ascii="Calibri" w:hAnsi="Calibri"/>
                <w:sz w:val="22"/>
              </w:rPr>
              <w:t>Restructuring Charges (FY2026)</w:t>
            </w:r>
          </w:p>
        </w:tc>
        <w:tc>
          <w:tcPr>
            <w:tcW w:type="dxa" w:w="1728"/>
          </w:tcPr>
          <w:p>
            <w:r>
              <w:rPr>
                <w:rFonts w:ascii="Calibri" w:hAnsi="Calibri"/>
                <w:sz w:val="22"/>
              </w:rPr>
              <w:t>Not guided at Q2 earnings</w:t>
            </w:r>
          </w:p>
        </w:tc>
        <w:tc>
          <w:tcPr>
            <w:tcW w:type="dxa" w:w="1728"/>
          </w:tcPr>
          <w:p>
            <w:r>
              <w:rPr>
                <w:rFonts w:ascii="Calibri" w:hAnsi="Calibri"/>
                <w:sz w:val="22"/>
              </w:rPr>
              <w:t>~$400M total ($280M non-cash, $120M cash) — 8-K filed May 15, 2026</w:t>
            </w:r>
          </w:p>
        </w:tc>
        <w:tc>
          <w:tcPr>
            <w:tcW w:type="dxa" w:w="1728"/>
          </w:tcPr>
          <w:p>
            <w:r>
              <w:rPr>
                <w:rFonts w:ascii="Calibri" w:hAnsi="Calibri"/>
                <w:sz w:val="22"/>
              </w:rPr>
              <w:t>N/A (below-the-line)</w:t>
            </w:r>
          </w:p>
        </w:tc>
        <w:tc>
          <w:tcPr>
            <w:tcW w:type="dxa" w:w="1728"/>
          </w:tcPr>
          <w:p>
            <w:r>
              <w:rPr>
                <w:rFonts w:ascii="Calibri" w:hAnsi="Calibri"/>
                <w:sz w:val="22"/>
              </w:rPr>
              <w:t>↑ New post-earnings development; majority of actions to be completed by FY-end; primarily Reserve/Roastery asset impairments and support org headcount reductions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Q3 FY2026 and FY2026 have been remarkably stable since the Q2 print — EPS drifted up ~+0.7% and revenue was essentially flat — suggesting the Street has high conviction in the guidance framework. The narrow gap between consensus and the guidance midpoint means there is limited cushion if execution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(May 8, 2026)</w:t>
            </w:r>
          </w:p>
        </w:tc>
        <w:tc>
          <w:tcPr>
            <w:tcW w:type="dxa" w:w="1080"/>
            <w:shd w:val="clear" w:color="auto" w:fill="3B4259"/>
          </w:tcPr>
          <w:p>
            <w:r>
              <w:rPr>
                <w:rFonts w:ascii="Calibri" w:hAnsi="Calibri"/>
                <w:b/>
                <w:color w:val="FFFFFF"/>
                <w:sz w:val="22"/>
              </w:rPr>
              <w:t>Current Estimate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Q3 FY2026</w:t>
            </w:r>
          </w:p>
        </w:tc>
        <w:tc>
          <w:tcPr>
            <w:tcW w:type="dxa" w:w="1080"/>
          </w:tcPr>
          <w:p>
            <w:r>
              <w:rPr>
                <w:rFonts w:ascii="Calibri" w:hAnsi="Calibri"/>
                <w:sz w:val="22"/>
              </w:rPr>
              <w:t>$0.647</w:t>
            </w:r>
          </w:p>
        </w:tc>
        <w:tc>
          <w:tcPr>
            <w:tcW w:type="dxa" w:w="1080"/>
          </w:tcPr>
          <w:p>
            <w:r>
              <w:rPr>
                <w:rFonts w:ascii="Calibri" w:hAnsi="Calibri"/>
                <w:sz w:val="22"/>
              </w:rPr>
              <w:t>$0.652</w:t>
            </w:r>
          </w:p>
        </w:tc>
        <w:tc>
          <w:tcPr>
            <w:tcW w:type="dxa" w:w="1080"/>
          </w:tcPr>
          <w:p>
            <w:r>
              <w:rPr>
                <w:rFonts w:ascii="Calibri" w:hAnsi="Calibri"/>
                <w:sz w:val="22"/>
              </w:rPr>
              <w:t>+0.7%</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$2.380</w:t>
            </w:r>
          </w:p>
        </w:tc>
        <w:tc>
          <w:tcPr>
            <w:tcW w:type="dxa" w:w="1080"/>
          </w:tcPr>
          <w:p>
            <w:r>
              <w:rPr>
                <w:rFonts w:ascii="Calibri" w:hAnsi="Calibri"/>
                <w:sz w:val="22"/>
              </w:rPr>
              <w:t>$2.397</w:t>
            </w:r>
          </w:p>
        </w:tc>
        <w:tc>
          <w:tcPr>
            <w:tcW w:type="dxa" w:w="1080"/>
          </w:tcPr>
          <w:p>
            <w:r>
              <w:rPr>
                <w:rFonts w:ascii="Calibri" w:hAnsi="Calibri"/>
                <w:sz w:val="22"/>
              </w:rPr>
              <w:t>+0.7%</w:t>
            </w:r>
          </w:p>
        </w:tc>
        <w:tc>
          <w:tcPr>
            <w:tcW w:type="dxa" w:w="1080"/>
          </w:tcPr>
          <w:p>
            <w:r>
              <w:rPr>
                <w:rFonts w:ascii="Calibri" w:hAnsi="Calibri"/>
                <w:sz w:val="22"/>
              </w:rPr>
              <w:t>$2.25–$2.45</w:t>
            </w:r>
          </w:p>
        </w:tc>
        <w:tc>
          <w:tcPr>
            <w:tcW w:type="dxa" w:w="1080"/>
          </w:tcPr>
          <w:p>
            <w:r>
              <w:rPr>
                <w:rFonts w:ascii="Calibri" w:hAnsi="Calibri"/>
                <w:sz w:val="22"/>
              </w:rPr>
              <w:t>$2.25–$2.45 (unchanged)</w:t>
            </w:r>
          </w:p>
        </w:tc>
        <w:tc>
          <w:tcPr>
            <w:tcW w:type="dxa" w:w="1080"/>
          </w:tcPr>
          <w:p>
            <w:r>
              <w:rPr>
                <w:rFonts w:ascii="Calibri" w:hAnsi="Calibri"/>
                <w:sz w:val="22"/>
              </w:rPr>
              <w:t>Unchanged</w:t>
            </w:r>
          </w:p>
        </w:tc>
        <w:tc>
          <w:tcPr>
            <w:tcW w:type="dxa" w:w="1080"/>
          </w:tcPr>
          <w:p>
            <w:r>
              <w:rPr>
                <w:rFonts w:ascii="Calibri" w:hAnsi="Calibri"/>
                <w:sz w:val="22"/>
              </w:rPr>
              <w:t>+2.0% above midpoint ($2.35)</w:t>
            </w:r>
          </w:p>
        </w:tc>
      </w:tr>
      <w:tr>
        <w:tc>
          <w:tcPr>
            <w:tcW w:type="dxa" w:w="1080"/>
          </w:tcPr>
          <w:p>
            <w:r>
              <w:rPr>
                <w:rFonts w:ascii="Calibri" w:hAnsi="Calibri"/>
                <w:sz w:val="22"/>
              </w:rPr>
              <w:t>Total Net Revenue — Q3 FY2026 ($B)</w:t>
            </w:r>
          </w:p>
        </w:tc>
        <w:tc>
          <w:tcPr>
            <w:tcW w:type="dxa" w:w="1080"/>
          </w:tcPr>
          <w:p>
            <w:r>
              <w:rPr>
                <w:rFonts w:ascii="Calibri" w:hAnsi="Calibri"/>
                <w:sz w:val="22"/>
              </w:rPr>
              <w:t>$9.180B</w:t>
            </w:r>
          </w:p>
        </w:tc>
        <w:tc>
          <w:tcPr>
            <w:tcW w:type="dxa" w:w="1080"/>
          </w:tcPr>
          <w:p>
            <w:r>
              <w:rPr>
                <w:rFonts w:ascii="Calibri" w:hAnsi="Calibri"/>
                <w:sz w:val="22"/>
              </w:rPr>
              <w:t>$9.175B</w:t>
            </w:r>
          </w:p>
        </w:tc>
        <w:tc>
          <w:tcPr>
            <w:tcW w:type="dxa" w:w="1080"/>
          </w:tcPr>
          <w:p>
            <w:r>
              <w:rPr>
                <w:rFonts w:ascii="Calibri" w:hAnsi="Calibri"/>
                <w:sz w:val="22"/>
              </w:rPr>
              <w:t>-0.1%</w:t>
            </w:r>
          </w:p>
        </w:tc>
        <w:tc>
          <w:tcPr>
            <w:tcW w:type="dxa" w:w="1080"/>
          </w:tcPr>
          <w:p>
            <w:r>
              <w:rPr>
                <w:rFonts w:ascii="Calibri" w:hAnsi="Calibri"/>
                <w:sz w:val="22"/>
              </w:rPr>
              <w:t>Roughly flat YoY (FY)</w:t>
            </w:r>
          </w:p>
        </w:tc>
        <w:tc>
          <w:tcPr>
            <w:tcW w:type="dxa" w:w="1080"/>
          </w:tcPr>
          <w:p>
            <w:r>
              <w:rPr>
                <w:rFonts w:ascii="Calibri" w:hAnsi="Calibri"/>
                <w:sz w:val="22"/>
              </w:rPr>
              <w:t>Roughly flat YoY (FY, unchanged)</w:t>
            </w:r>
          </w:p>
        </w:tc>
        <w:tc>
          <w:tcPr>
            <w:tcW w:type="dxa" w:w="1080"/>
          </w:tcPr>
          <w:p>
            <w:r>
              <w:rPr>
                <w:rFonts w:ascii="Calibri" w:hAnsi="Calibri"/>
                <w:sz w:val="22"/>
              </w:rPr>
              <w:t>Unchanged</w:t>
            </w:r>
          </w:p>
        </w:tc>
        <w:tc>
          <w:tcPr>
            <w:tcW w:type="dxa" w:w="1080"/>
          </w:tcPr>
          <w:p>
            <w:r>
              <w:rPr>
                <w:rFonts w:ascii="Calibri" w:hAnsi="Calibri"/>
                <w:sz w:val="22"/>
              </w:rPr>
              <w:t>N/A (FY guidance only)</w:t>
            </w:r>
          </w:p>
        </w:tc>
      </w:tr>
      <w:tr>
        <w:tc>
          <w:tcPr>
            <w:tcW w:type="dxa" w:w="1080"/>
          </w:tcPr>
          <w:p>
            <w:r>
              <w:rPr>
                <w:rFonts w:ascii="Calibri" w:hAnsi="Calibri"/>
                <w:sz w:val="22"/>
              </w:rPr>
              <w:t>Total Net Revenue — FY2026 ($B)</w:t>
            </w:r>
          </w:p>
        </w:tc>
        <w:tc>
          <w:tcPr>
            <w:tcW w:type="dxa" w:w="1080"/>
          </w:tcPr>
          <w:p>
            <w:r>
              <w:rPr>
                <w:rFonts w:ascii="Calibri" w:hAnsi="Calibri"/>
                <w:sz w:val="22"/>
              </w:rPr>
              <w:t>$37.818B</w:t>
            </w:r>
          </w:p>
        </w:tc>
        <w:tc>
          <w:tcPr>
            <w:tcW w:type="dxa" w:w="1080"/>
          </w:tcPr>
          <w:p>
            <w:r>
              <w:rPr>
                <w:rFonts w:ascii="Calibri" w:hAnsi="Calibri"/>
                <w:sz w:val="22"/>
              </w:rPr>
              <w:t>$37.838B</w:t>
            </w:r>
          </w:p>
        </w:tc>
        <w:tc>
          <w:tcPr>
            <w:tcW w:type="dxa" w:w="1080"/>
          </w:tcPr>
          <w:p>
            <w:r>
              <w:rPr>
                <w:rFonts w:ascii="Calibri" w:hAnsi="Calibri"/>
                <w:sz w:val="22"/>
              </w:rPr>
              <w:t>+0.1%</w:t>
            </w:r>
          </w:p>
        </w:tc>
        <w:tc>
          <w:tcPr>
            <w:tcW w:type="dxa" w:w="1080"/>
          </w:tcPr>
          <w:p>
            <w:r>
              <w:rPr>
                <w:rFonts w:ascii="Calibri" w:hAnsi="Calibri"/>
                <w:sz w:val="22"/>
              </w:rPr>
              <w:t>Roughly flat YoY (FY)</w:t>
            </w:r>
          </w:p>
        </w:tc>
        <w:tc>
          <w:tcPr>
            <w:tcW w:type="dxa" w:w="1080"/>
          </w:tcPr>
          <w:p>
            <w:r>
              <w:rPr>
                <w:rFonts w:ascii="Calibri" w:hAnsi="Calibri"/>
                <w:sz w:val="22"/>
              </w:rPr>
              <w:t>Roughly flat YoY (FY, unchanged)</w:t>
            </w:r>
          </w:p>
        </w:tc>
        <w:tc>
          <w:tcPr>
            <w:tcW w:type="dxa" w:w="1080"/>
          </w:tcPr>
          <w:p>
            <w:r>
              <w:rPr>
                <w:rFonts w:ascii="Calibri" w:hAnsi="Calibri"/>
                <w:sz w:val="22"/>
              </w:rPr>
              <w:t>Unchanged</w:t>
            </w:r>
          </w:p>
        </w:tc>
        <w:tc>
          <w:tcPr>
            <w:tcW w:type="dxa" w:w="1080"/>
          </w:tcPr>
          <w:p>
            <w:r>
              <w:rPr>
                <w:rFonts w:ascii="Calibri" w:hAnsi="Calibri"/>
                <w:sz w:val="22"/>
              </w:rPr>
              <w:t>N/A (qualitative guidance)</w:t>
            </w:r>
          </w:p>
        </w:tc>
      </w:tr>
      <w:tr>
        <w:tc>
          <w:tcPr>
            <w:tcW w:type="dxa" w:w="1080"/>
          </w:tcPr>
          <w:p>
            <w:r>
              <w:rPr>
                <w:rFonts w:ascii="Calibri" w:hAnsi="Calibri"/>
                <w:sz w:val="22"/>
              </w:rPr>
              <w:t>U.S. SSS — Q3 FY2026 (%)</w:t>
            </w:r>
          </w:p>
        </w:tc>
        <w:tc>
          <w:tcPr>
            <w:tcW w:type="dxa" w:w="1080"/>
          </w:tcPr>
          <w:p>
            <w:r>
              <w:rPr>
                <w:rFonts w:ascii="Calibri" w:hAnsi="Calibri"/>
                <w:sz w:val="22"/>
              </w:rPr>
              <w:t>+5.9%</w:t>
            </w:r>
          </w:p>
        </w:tc>
        <w:tc>
          <w:tcPr>
            <w:tcW w:type="dxa" w:w="1080"/>
          </w:tcPr>
          <w:p>
            <w:r>
              <w:rPr>
                <w:rFonts w:ascii="Calibri" w:hAnsi="Calibri"/>
                <w:sz w:val="22"/>
              </w:rPr>
              <w:t>+5.8%</w:t>
            </w:r>
          </w:p>
        </w:tc>
        <w:tc>
          <w:tcPr>
            <w:tcW w:type="dxa" w:w="1080"/>
          </w:tcPr>
          <w:p>
            <w:r>
              <w:rPr>
                <w:rFonts w:ascii="Calibri" w:hAnsi="Calibri"/>
                <w:sz w:val="22"/>
              </w:rPr>
              <w:t>-0.2 ppts</w:t>
            </w:r>
          </w:p>
        </w:tc>
        <w:tc>
          <w:tcPr>
            <w:tcW w:type="dxa" w:w="1080"/>
          </w:tcPr>
          <w:p>
            <w:r>
              <w:rPr>
                <w:rFonts w:ascii="Calibri" w:hAnsi="Calibri"/>
                <w:sz w:val="22"/>
              </w:rPr>
              <w:t>5%+ (FY)</w:t>
            </w:r>
          </w:p>
        </w:tc>
        <w:tc>
          <w:tcPr>
            <w:tcW w:type="dxa" w:w="1080"/>
          </w:tcPr>
          <w:p>
            <w:r>
              <w:rPr>
                <w:rFonts w:ascii="Calibri" w:hAnsi="Calibri"/>
                <w:sz w:val="22"/>
              </w:rPr>
              <w:t>5%+ (FY, unchanged)</w:t>
            </w:r>
          </w:p>
        </w:tc>
        <w:tc>
          <w:tcPr>
            <w:tcW w:type="dxa" w:w="1080"/>
          </w:tcPr>
          <w:p>
            <w:r>
              <w:rPr>
                <w:rFonts w:ascii="Calibri" w:hAnsi="Calibri"/>
                <w:sz w:val="22"/>
              </w:rPr>
              <w:t>Unchanged</w:t>
            </w:r>
          </w:p>
        </w:tc>
        <w:tc>
          <w:tcPr>
            <w:tcW w:type="dxa" w:w="1080"/>
          </w:tcPr>
          <w:p>
            <w:r>
              <w:rPr>
                <w:rFonts w:ascii="Calibri" w:hAnsi="Calibri"/>
                <w:sz w:val="22"/>
              </w:rPr>
              <w:t>~+0.8 ppts above floor</w:t>
            </w:r>
          </w:p>
        </w:tc>
      </w:tr>
      <w:tr>
        <w:tc>
          <w:tcPr>
            <w:tcW w:type="dxa" w:w="1080"/>
          </w:tcPr>
          <w:p>
            <w:r>
              <w:rPr>
                <w:rFonts w:ascii="Calibri" w:hAnsi="Calibri"/>
                <w:sz w:val="22"/>
              </w:rPr>
              <w:t>U.S. SSS — FY2026 (%)</w:t>
            </w:r>
          </w:p>
        </w:tc>
        <w:tc>
          <w:tcPr>
            <w:tcW w:type="dxa" w:w="1080"/>
          </w:tcPr>
          <w:p>
            <w:r>
              <w:rPr>
                <w:rFonts w:ascii="Calibri" w:hAnsi="Calibri"/>
                <w:sz w:val="22"/>
              </w:rPr>
              <w:t>+5.3%</w:t>
            </w:r>
          </w:p>
        </w:tc>
        <w:tc>
          <w:tcPr>
            <w:tcW w:type="dxa" w:w="1080"/>
          </w:tcPr>
          <w:p>
            <w:r>
              <w:rPr>
                <w:rFonts w:ascii="Calibri" w:hAnsi="Calibri"/>
                <w:sz w:val="22"/>
              </w:rPr>
              <w:t>+5.3%</w:t>
            </w:r>
          </w:p>
        </w:tc>
        <w:tc>
          <w:tcPr>
            <w:tcW w:type="dxa" w:w="1080"/>
          </w:tcPr>
          <w:p>
            <w:r>
              <w:rPr>
                <w:rFonts w:ascii="Calibri" w:hAnsi="Calibri"/>
                <w:sz w:val="22"/>
              </w:rPr>
              <w:t>Flat</w:t>
            </w:r>
          </w:p>
        </w:tc>
        <w:tc>
          <w:tcPr>
            <w:tcW w:type="dxa" w:w="1080"/>
          </w:tcPr>
          <w:p>
            <w:r>
              <w:rPr>
                <w:rFonts w:ascii="Calibri" w:hAnsi="Calibri"/>
                <w:sz w:val="22"/>
              </w:rPr>
              <w:t>5%+ (FY)</w:t>
            </w:r>
          </w:p>
        </w:tc>
        <w:tc>
          <w:tcPr>
            <w:tcW w:type="dxa" w:w="1080"/>
          </w:tcPr>
          <w:p>
            <w:r>
              <w:rPr>
                <w:rFonts w:ascii="Calibri" w:hAnsi="Calibri"/>
                <w:sz w:val="22"/>
              </w:rPr>
              <w:t>5%+ (FY, unchanged)</w:t>
            </w:r>
          </w:p>
        </w:tc>
        <w:tc>
          <w:tcPr>
            <w:tcW w:type="dxa" w:w="1080"/>
          </w:tcPr>
          <w:p>
            <w:r>
              <w:rPr>
                <w:rFonts w:ascii="Calibri" w:hAnsi="Calibri"/>
                <w:sz w:val="22"/>
              </w:rPr>
              <w:t>Unchanged</w:t>
            </w:r>
          </w:p>
        </w:tc>
        <w:tc>
          <w:tcPr>
            <w:tcW w:type="dxa" w:w="1080"/>
          </w:tcPr>
          <w:p>
            <w:r>
              <w:rPr>
                <w:rFonts w:ascii="Calibri" w:hAnsi="Calibri"/>
                <w:sz w:val="22"/>
              </w:rPr>
              <w:t>~+0.3 ppts above floor</w:t>
            </w:r>
          </w:p>
        </w:tc>
      </w:tr>
    </w:tbl>
    <w:p>
      <w:r>
        <w:rPr>
          <w:rFonts w:ascii="Calibri" w:hAnsi="Calibri"/>
          <w:i/>
          <w:color w:val="525866"/>
          <w:sz w:val="22"/>
        </w:rPr>
        <w:t xml:space="preserve">Source: Visible Alpha Consensus and Actuals Data. </w:t>
      </w:r>
      <w:r>
        <w:rPr>
          <w:rFonts w:ascii="Calibri" w:hAnsi="Calibri"/>
          <w:b/>
          <w:color w:val="525866"/>
          <w:sz w:val="22"/>
        </w:rPr>
        <w:t xml:space="preserve">Commentary: </w:t>
      </w:r>
      <w:r>
        <w:rPr>
          <w:rFonts w:ascii="Calibri" w:hAnsi="Calibri"/>
          <w:i/>
          <w:color w:val="525866"/>
          <w:sz w:val="22"/>
        </w:rPr>
        <w:t>The stability of estimates since the Q2 print is notable — the Street has essentially locked in the guidance framework with minimal revision activity. The slight upward drift in EPS (+0.7%) reflects growing confidence in the cost savings trajectory (CFO confirmed at Bernstein that the high-visibility savings figure has risen above $800M). The key risk is that Q3 is the first quarter with China fully deconsolidated, and any revenue line confusion could create noise around the "roughly flat" FY revenue guidance.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SBUX has outperformed both XLY and the S&amp;P 500 since the Q2 earnings date (+6.0% vs. -3.9% and +4.1%, respectively), driven primarily by multiple expansion on the back of the turnaround narrative — the stock re-rated on the Q2 beat and has held most of those gains despite a recent pullback from the mid-July high of ~$108.</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SBUX vs. XLY vs. S&amp;P 500 — Indexed to 100 at Q2 FY2026 Earnings Date (April 28, 2026). Source: Stock Price Data (Yahoo Finance). XLY = Consumer Discretionary Select Sector SPDR Fund. Chart based on 63 price observations through July 28, 2026.</w:t>
      </w:r>
    </w:p>
    <w:p>
      <w:r>
        <w:rPr>
          <w:rFonts w:ascii="Calibri" w:hAnsi="Calibri"/>
          <w:b/>
          <w:color w:val="525866"/>
          <w:sz w:val="22"/>
        </w:rPr>
        <w:t xml:space="preserve">Performance Summary (April 28 – July 28, 2026): </w:t>
      </w:r>
      <w:r>
        <w:rPr>
          <w:rFonts w:ascii="Calibri" w:hAnsi="Calibri"/>
          <w:color w:val="525866"/>
          <w:sz w:val="22"/>
        </w:rPr>
        <w:t>SBUX opened at $97.28 on earnings day and closed at $103.65 on July 27, 2026 (+6.5% from the earnings-day open). The stock surged to ~$105–$106 in the days immediately following the Q2 beat, then drifted lower through late May/early June (touching ~$94–$95 in early June), before recovering to the $103–$108 range in July. The mid-July peak of $108.37 (July 16) coincided with broader market strength. The recent pullback to ~$103 reflects sector-wide pressure (XLY has underperformed sharply, down ~3.9% over the same period) and some pre-earnings caution.</w:t>
      </w:r>
    </w:p>
    <w:p>
      <w:r>
        <w:rPr>
          <w:rFonts w:ascii="Calibri" w:hAnsi="Calibri"/>
          <w:b/>
          <w:color w:val="525866"/>
          <w:sz w:val="22"/>
        </w:rPr>
        <w:t>Key Events Since Q2 Earnings:</w:t>
      </w:r>
    </w:p>
    <w:p>
      <w:pPr>
        <w:pStyle w:val="ListBullet"/>
        <w:ind w:left="360" w:hanging="360"/>
      </w:pPr>
      <w:r>
        <w:rPr>
          <w:rFonts w:ascii="Calibri" w:hAnsi="Calibri"/>
          <w:b/>
          <w:color w:val="525866"/>
          <w:sz w:val="22"/>
        </w:rPr>
        <w:t xml:space="preserve">April 28, 2026: </w:t>
      </w:r>
      <w:r>
        <w:rPr>
          <w:rFonts w:ascii="Calibri" w:hAnsi="Calibri"/>
          <w:color w:val="525866"/>
          <w:sz w:val="22"/>
        </w:rPr>
        <w:t>Q2 FY2026 earnings beat — stock surged from $97.28 to $105.50 (+8.5%) in after-hours/next-day trading.</w:t>
      </w:r>
    </w:p>
    <w:p>
      <w:pPr>
        <w:pStyle w:val="ListBullet"/>
        <w:ind w:left="360" w:hanging="360"/>
      </w:pPr>
      <w:r>
        <w:rPr>
          <w:rFonts w:ascii="Calibri" w:hAnsi="Calibri"/>
          <w:b/>
          <w:color w:val="525866"/>
          <w:sz w:val="22"/>
        </w:rPr>
        <w:t xml:space="preserve">May 15, 2026: </w:t>
      </w:r>
      <w:r>
        <w:rPr>
          <w:rFonts w:ascii="Calibri" w:hAnsi="Calibri"/>
          <w:color w:val="525866"/>
          <w:sz w:val="22"/>
        </w:rPr>
        <w:t>$400M restructuring plan announced via 8-K — stock was near $106 at the time; market reaction was muted as the plan was framed as accelerating the cost savings strategy.</w:t>
      </w:r>
    </w:p>
    <w:p>
      <w:pPr>
        <w:pStyle w:val="ListBullet"/>
        <w:ind w:left="360" w:hanging="360"/>
      </w:pPr>
      <w:r>
        <w:rPr>
          <w:rFonts w:ascii="Calibri" w:hAnsi="Calibri"/>
          <w:b/>
          <w:color w:val="525866"/>
          <w:sz w:val="22"/>
        </w:rPr>
        <w:t xml:space="preserve">Late May/Early June: </w:t>
      </w:r>
      <w:r>
        <w:rPr>
          <w:rFonts w:ascii="Calibri" w:hAnsi="Calibri"/>
          <w:color w:val="525866"/>
          <w:sz w:val="22"/>
        </w:rPr>
        <w:t>Stock drifted lower to ~$94–$96, likely reflecting broader market weakness and sector rotation.</w:t>
      </w:r>
    </w:p>
    <w:p>
      <w:pPr>
        <w:pStyle w:val="ListBullet"/>
        <w:ind w:left="360" w:hanging="360"/>
      </w:pPr>
      <w:r>
        <w:rPr>
          <w:rFonts w:ascii="Calibri" w:hAnsi="Calibri"/>
          <w:b/>
          <w:color w:val="525866"/>
          <w:sz w:val="22"/>
        </w:rPr>
        <w:t xml:space="preserve">June 2, 2026: </w:t>
      </w:r>
      <w:r>
        <w:rPr>
          <w:rFonts w:ascii="Calibri" w:hAnsi="Calibri"/>
          <w:color w:val="525866"/>
          <w:sz w:val="22"/>
        </w:rPr>
        <w:t>Evercore Consumer &amp; Retail Conference — CEO provided geographic specificity on U.S. unit growth opportunity (middle of country as primary under-penetrated region); stock began recovering.</w:t>
      </w:r>
    </w:p>
    <w:p>
      <w:pPr>
        <w:pStyle w:val="ListBullet"/>
        <w:ind w:left="360" w:hanging="360"/>
      </w:pPr>
      <w:r>
        <w:rPr>
          <w:rFonts w:ascii="Calibri" w:hAnsi="Calibri"/>
          <w:b/>
          <w:color w:val="525866"/>
          <w:sz w:val="22"/>
        </w:rPr>
        <w:t xml:space="preserve">June 12, 2026: </w:t>
      </w:r>
      <w:r>
        <w:rPr>
          <w:rFonts w:ascii="Calibri" w:hAnsi="Calibri"/>
          <w:color w:val="525866"/>
          <w:sz w:val="22"/>
        </w:rPr>
        <w:t>Val Bauduin named Principal Accounting Officer (8-K) — routine leadership change, no material market impact.</w:t>
      </w:r>
    </w:p>
    <w:p>
      <w:pPr>
        <w:pStyle w:val="ListBullet"/>
        <w:ind w:left="360" w:hanging="360"/>
      </w:pPr>
      <w:r>
        <w:rPr>
          <w:rFonts w:ascii="Calibri" w:hAnsi="Calibri"/>
          <w:b/>
          <w:color w:val="525866"/>
          <w:sz w:val="22"/>
        </w:rPr>
        <w:t xml:space="preserve">July 15, 2026: </w:t>
      </w:r>
      <w:r>
        <w:rPr>
          <w:rFonts w:ascii="Calibri" w:hAnsi="Calibri"/>
          <w:color w:val="525866"/>
          <w:sz w:val="22"/>
        </w:rPr>
        <w:t>Q3 FY2026 earnings call date announced — stock near $105.</w:t>
      </w:r>
    </w:p>
    <w:p>
      <w:pPr>
        <w:pStyle w:val="ListBullet"/>
        <w:ind w:left="360" w:hanging="360"/>
      </w:pPr>
      <w:r>
        <w:rPr>
          <w:rFonts w:ascii="Calibri" w:hAnsi="Calibri"/>
          <w:b/>
          <w:color w:val="525866"/>
          <w:sz w:val="22"/>
        </w:rPr>
        <w:t xml:space="preserve">July 16, 2026: </w:t>
      </w:r>
      <w:r>
        <w:rPr>
          <w:rFonts w:ascii="Calibri" w:hAnsi="Calibri"/>
          <w:color w:val="525866"/>
          <w:sz w:val="22"/>
        </w:rPr>
        <w:t>Stock hit cycle high of $108.37 before pulling back to ~$103 ahead of earnings.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post-Q2 development is the $400M restructuring plan (May 15, 8-K), which accelerates the cost savings timeline and will generate significant non-cash charges in Q3/Q4 — investors should expect restructuring noise in the GAAP P&amp;L but the operating EPS line should be clean.</w:t>
      </w:r>
    </w:p>
    <w:p>
      <w:pPr>
        <w:pStyle w:val="ListBullet"/>
        <w:ind w:left="360" w:hanging="360"/>
      </w:pPr>
      <w:r>
        <w:rPr>
          <w:rFonts w:ascii="Calibri" w:hAnsi="Calibri"/>
          <w:b/>
          <w:color w:val="525866"/>
          <w:sz w:val="22"/>
        </w:rPr>
        <w:t xml:space="preserve">May 15, 2026 — $400M Restructuring Plan (8-K): </w:t>
      </w:r>
      <w:r>
        <w:rPr>
          <w:rFonts w:ascii="Calibri" w:hAnsi="Calibri"/>
          <w:color w:val="525866"/>
          <w:sz w:val="22"/>
        </w:rPr>
        <w:t xml:space="preserve">Board approved further actions under the "Back to Starbucks" strategy, including streamlining domestic/international support organizations and reducing operational complexity of Reserve and Roastery locations. Total charges: ~$400M (~$280M non-cash asset impairments, ~$120M cash for employee separation benefits). Majority of actions expected to be completed by FY-end. </w:t>
      </w:r>
      <w:r>
        <w:rPr>
          <w:rFonts w:ascii="Calibri" w:hAnsi="Calibri"/>
          <w:i/>
          <w:color w:val="525866"/>
          <w:sz w:val="22"/>
        </w:rPr>
        <w:t xml:space="preserve">Implication: </w:t>
      </w:r>
      <w:r>
        <w:rPr>
          <w:rFonts w:ascii="Calibri" w:hAnsi="Calibri"/>
          <w:i/>
          <w:color w:val="525866"/>
          <w:sz w:val="22"/>
        </w:rPr>
        <w:t>Non-cash charges will weigh on GAAP EPS in Q3/Q4 but are excluded from operating EPS guidance; the plan accelerates the $2B cost savings program and signals management is moving faster than initially communicated.</w:t>
      </w:r>
    </w:p>
    <w:p>
      <w:pPr>
        <w:pStyle w:val="ListBullet"/>
        <w:ind w:left="360" w:hanging="360"/>
      </w:pPr>
      <w:r>
        <w:rPr>
          <w:rFonts w:ascii="Calibri" w:hAnsi="Calibri"/>
          <w:b/>
          <w:color w:val="525866"/>
          <w:sz w:val="22"/>
        </w:rPr>
        <w:t xml:space="preserve">June 2, 2026 — Evercore Consumer &amp; Retail Conference: </w:t>
      </w:r>
      <w:r>
        <w:rPr>
          <w:rFonts w:ascii="Calibri" w:hAnsi="Calibri"/>
          <w:color w:val="525866"/>
          <w:sz w:val="22"/>
        </w:rPr>
        <w:t xml:space="preserve">CEO Brian Niccol provided geographic specificity on U.S. unit growth, identifying the middle of the country (Texas to Virginia) as the primary under-penetrated region. Also named collagen and creatine as future wellness platform additions alongside protein cold foam. </w:t>
      </w:r>
      <w:r>
        <w:rPr>
          <w:rFonts w:ascii="Calibri" w:hAnsi="Calibri"/>
          <w:i/>
          <w:color w:val="525866"/>
          <w:sz w:val="22"/>
        </w:rPr>
        <w:t xml:space="preserve">Implication: </w:t>
      </w:r>
      <w:r>
        <w:rPr>
          <w:rFonts w:ascii="Calibri" w:hAnsi="Calibri"/>
          <w:i/>
          <w:color w:val="525866"/>
          <w:sz w:val="22"/>
        </w:rPr>
        <w:t>Reinforces the long-term unit growth story and wellness platform expansion; not a near-term earnings driver but supports the FY2028 target narrative.</w:t>
      </w:r>
    </w:p>
    <w:p>
      <w:pPr>
        <w:pStyle w:val="ListBullet"/>
        <w:ind w:left="360" w:hanging="360"/>
      </w:pPr>
      <w:r>
        <w:rPr>
          <w:rFonts w:ascii="Calibri" w:hAnsi="Calibri"/>
          <w:b/>
          <w:color w:val="525866"/>
          <w:sz w:val="22"/>
        </w:rPr>
        <w:t xml:space="preserve">May 2026 — Bernstein 42nd Annual Strategic Decisions Conference: </w:t>
      </w:r>
      <w:r>
        <w:rPr>
          <w:rFonts w:ascii="Calibri" w:hAnsi="Calibri"/>
          <w:color w:val="525866"/>
          <w:sz w:val="22"/>
        </w:rPr>
        <w:t xml:space="preserve">CFO confirmed the high-visibility cost savings figure has increased above $800M and continues to rise, with savings already flowing through the P&amp;L. Store uplift program at ~700 completions (updated from ~600), targeting &gt;1,000 by year-end. New hourly partner quarterly bonus program introduced. </w:t>
      </w:r>
      <w:r>
        <w:rPr>
          <w:rFonts w:ascii="Calibri" w:hAnsi="Calibri"/>
          <w:i/>
          <w:color w:val="525866"/>
          <w:sz w:val="22"/>
        </w:rPr>
        <w:t xml:space="preserve">Implication: </w:t>
      </w:r>
      <w:r>
        <w:rPr>
          <w:rFonts w:ascii="Calibri" w:hAnsi="Calibri"/>
          <w:i/>
          <w:color w:val="525866"/>
          <w:sz w:val="22"/>
        </w:rPr>
        <w:t>Positive signal on cost savings execution; the rising high-visibility figure is a key driver of the slight upward EPS estimate drift since Q2.</w:t>
      </w:r>
    </w:p>
    <w:p>
      <w:pPr>
        <w:pStyle w:val="ListBullet"/>
        <w:ind w:left="360" w:hanging="360"/>
      </w:pPr>
      <w:r>
        <w:rPr>
          <w:rFonts w:ascii="Calibri" w:hAnsi="Calibri"/>
          <w:b/>
          <w:color w:val="525866"/>
          <w:sz w:val="22"/>
        </w:rPr>
        <w:t xml:space="preserve">June 16, 2026 — Blue Coconut Refresher Launch: </w:t>
      </w:r>
      <w:r>
        <w:rPr>
          <w:rFonts w:ascii="Calibri" w:hAnsi="Calibri"/>
          <w:color w:val="525866"/>
          <w:sz w:val="22"/>
        </w:rPr>
        <w:t xml:space="preserve">Blue Spirulina-based refresher (coconut, strawberry, and acaí flavors) and Iced Blue Coconut Matcha launched, expanding the refresher platform from two to three core drinks. </w:t>
      </w:r>
      <w:r>
        <w:rPr>
          <w:rFonts w:ascii="Calibri" w:hAnsi="Calibri"/>
          <w:i/>
          <w:color w:val="525866"/>
          <w:sz w:val="22"/>
        </w:rPr>
        <w:t xml:space="preserve">Implication: </w:t>
      </w:r>
      <w:r>
        <w:rPr>
          <w:rFonts w:ascii="Calibri" w:hAnsi="Calibri"/>
          <w:i/>
          <w:color w:val="525866"/>
          <w:sz w:val="22"/>
        </w:rPr>
        <w:t>Directly relevant to Q3 performance — the refresher platform is a multi-billion dollar business and this launch falls squarely within the Q3 reporting period (quarter ended June 30). Management noted energy refreshers and mango flavor launched in April "exceeded expectations"; the Blue Coconut launch could provide additional Q3 comp tailwind.</w:t>
      </w:r>
    </w:p>
    <w:p>
      <w:pPr>
        <w:pStyle w:val="ListBullet"/>
        <w:ind w:left="360" w:hanging="360"/>
      </w:pPr>
      <w:r>
        <w:rPr>
          <w:rFonts w:ascii="Calibri" w:hAnsi="Calibri"/>
          <w:b/>
          <w:color w:val="525866"/>
          <w:sz w:val="22"/>
        </w:rPr>
        <w:t xml:space="preserve">June 12, 2026 — Val Bauduin Named Principal Accounting Officer (8-K): </w:t>
      </w:r>
      <w:r>
        <w:rPr>
          <w:rFonts w:ascii="Calibri" w:hAnsi="Calibri"/>
          <w:color w:val="525866"/>
          <w:sz w:val="22"/>
        </w:rPr>
        <w:t>Routine leadership appointment; no material earnings implications.</w:t>
      </w:r>
    </w:p>
    <w:p>
      <w:pPr>
        <w:pStyle w:val="ListBullet"/>
        <w:ind w:left="360" w:hanging="360"/>
      </w:pPr>
      <w:r>
        <w:rPr>
          <w:rFonts w:ascii="Calibri" w:hAnsi="Calibri"/>
          <w:b/>
          <w:color w:val="525866"/>
          <w:sz w:val="22"/>
        </w:rPr>
        <w:t xml:space="preserve">April 2, 2026 — China JV Closed (8-K): </w:t>
      </w:r>
      <w:r>
        <w:rPr>
          <w:rFonts w:ascii="Calibri" w:hAnsi="Calibri"/>
          <w:color w:val="525866"/>
          <w:sz w:val="22"/>
        </w:rPr>
        <w:t xml:space="preserve">Starbucks completed the sale of a majority stake in China retail operations to Boyu Capital, receiving ~$3.1B in gross cash proceeds. China deconsolidated from financials starting Q3 FY2026. </w:t>
      </w:r>
      <w:r>
        <w:rPr>
          <w:rFonts w:ascii="Calibri" w:hAnsi="Calibri"/>
          <w:i/>
          <w:color w:val="525866"/>
          <w:sz w:val="22"/>
        </w:rPr>
        <w:t xml:space="preserve">Implication: </w:t>
      </w:r>
      <w:r>
        <w:rPr>
          <w:rFonts w:ascii="Calibri" w:hAnsi="Calibri"/>
          <w:i/>
          <w:color w:val="525866"/>
          <w:sz w:val="22"/>
        </w:rPr>
        <w:t>Q3 is the first quarter with China fully deconsolidated — the revenue line will look dramatically different (China revenues &lt;20% of prior reported levels). The JV is expected to be EPS-neutral for FY2026 and margin accretive (~50% of licensing revenues flow to operating income). Investors should focus on the operating EPS line and comp sales, not the revenue headline.</w:t>
      </w:r>
    </w:p>
    <w:p>
      <w:pPr>
        <w:pStyle w:val="ListBullet"/>
        <w:ind w:left="360" w:hanging="360"/>
      </w:pPr>
      <w:r>
        <w:rPr>
          <w:rFonts w:ascii="Calibri" w:hAnsi="Calibri"/>
          <w:b/>
          <w:color w:val="525866"/>
          <w:sz w:val="22"/>
        </w:rPr>
        <w:t xml:space="preserve">July 28, 2026 — Pre-Earnings Media Coverage (WSJ): </w:t>
      </w:r>
      <w:r>
        <w:rPr>
          <w:rFonts w:ascii="Calibri" w:hAnsi="Calibri"/>
          <w:color w:val="525866"/>
          <w:sz w:val="22"/>
        </w:rPr>
        <w:t xml:space="preserve">WSJ noted SBUX stock surged 25%+ when Niccol was hired and that UBS analysts expected Q3 U.S. comps could have risen ~7% (above the ~5.8% consensus). </w:t>
      </w:r>
      <w:r>
        <w:rPr>
          <w:rFonts w:ascii="Calibri" w:hAnsi="Calibri"/>
          <w:i/>
          <w:color w:val="525866"/>
          <w:sz w:val="22"/>
        </w:rPr>
        <w:t xml:space="preserve">Implication: </w:t>
      </w:r>
      <w:r>
        <w:rPr>
          <w:rFonts w:ascii="Calibri" w:hAnsi="Calibri"/>
          <w:i/>
          <w:color w:val="525866"/>
          <w:sz w:val="22"/>
        </w:rPr>
        <w:t>Suggests some sell-side analysts may be modeling above-consensus comps; if UBS is right, there could be a positive surprise on the comp line.</w:t>
      </w:r>
    </w:p>
    <w:p>
      <w:r>
        <w:br w:type="page"/>
      </w:r>
    </w:p>
    <w:p>
      <w:pPr>
        <w:pStyle w:val="Heading2"/>
      </w:pPr>
      <w:r>
        <w:rPr>
          <w:rFonts w:ascii="Calibri" w:hAnsi="Calibri"/>
          <w:b/>
          <w:color w:val="3B4259"/>
          <w:sz w:val="28"/>
        </w:rPr>
        <w:t>7. Peer Commentary &amp; Read-Throughs</w:t>
      </w:r>
    </w:p>
    <w:p>
      <w:r>
        <w:rPr>
          <w:rFonts w:ascii="Calibri" w:hAnsi="Calibri"/>
          <w:b/>
          <w:color w:val="525866"/>
          <w:sz w:val="22"/>
        </w:rPr>
        <w:t xml:space="preserve">Qualification: </w:t>
      </w:r>
      <w:r>
        <w:rPr>
          <w:rFonts w:ascii="Calibri" w:hAnsi="Calibri"/>
          <w:color w:val="525866"/>
          <w:sz w:val="22"/>
        </w:rPr>
        <w:t xml:space="preserve">This section includes only commentary from the last 60 days (approximately May 28 – July 28, 2026) that explicitly addresses each peer’s </w:t>
      </w:r>
      <w:r>
        <w:rPr>
          <w:rFonts w:ascii="Calibri" w:hAnsi="Calibri"/>
          <w:b/>
          <w:i/>
          <w:color w:val="525866"/>
          <w:sz w:val="22"/>
        </w:rPr>
        <w:t>then-current or ongoing reporting quarter</w:t>
      </w:r>
      <w:r>
        <w:rPr>
          <w:rFonts w:ascii="Calibri" w:hAnsi="Calibri"/>
          <w:color w:val="525866"/>
          <w:sz w:val="22"/>
        </w:rPr>
        <w:t xml:space="preserve"> (i.e., quarter-to-date trends, current-quarter guidance, or forward-looking commentary made after the peer’s last earnings). Retrospective commentary about a prior quarter’s results is excluded. All commentary is sourced from conference transcripts and earnings calls within the window.</w:t>
      </w:r>
    </w:p>
    <w:p>
      <w:r>
        <w:rPr>
          <w:rFonts w:ascii="Calibri" w:hAnsi="Calibri"/>
          <w:b/>
          <w:color w:val="525866"/>
          <w:sz w:val="22"/>
        </w:rPr>
        <w:t xml:space="preserve">Key Takeaway: </w:t>
      </w:r>
      <w:r>
        <w:rPr>
          <w:rFonts w:ascii="Calibri" w:hAnsi="Calibri"/>
          <w:color w:val="525866"/>
          <w:sz w:val="22"/>
        </w:rPr>
        <w:t>Peer commentary paints a nuanced picture — the QSR industry faced persistent macro headwinds and flat order counts in Q2 (Domino’s), but premium/fast-casual brands with strong digital platforms (Shake Shack) continued to drive traffic growth. KFC/Taco Bell (YUM) saw no material GLP-1 impact and highlighted protein/snacking as a growth occasion. The read-through for SBUX is cautiously positive: the macro is challenging but manageable for brands with strong loyalty ecosystems and premium positioning.</w:t>
      </w:r>
    </w:p>
    <w:p>
      <w:pPr>
        <w:pStyle w:val="Heading3"/>
      </w:pPr>
      <w:r>
        <w:rPr>
          <w:rFonts w:ascii="Calibri" w:hAnsi="Calibri"/>
          <w:b/>
          <w:color w:val="3B4259"/>
          <w:sz w:val="24"/>
        </w:rPr>
        <w:t>Domino’s Pizza (DPZ) — Q2 FY2026 Earnings Call (July 20, 2026)</w:t>
      </w:r>
    </w:p>
    <w:p>
      <w:r>
        <w:rPr>
          <w:rFonts w:ascii="Calibri" w:hAnsi="Calibri"/>
          <w:b/>
          <w:color w:val="525866"/>
          <w:sz w:val="22"/>
        </w:rPr>
        <w:t xml:space="preserve">Reporting Period Covered: </w:t>
      </w:r>
      <w:r>
        <w:rPr>
          <w:rFonts w:ascii="Calibri" w:hAnsi="Calibri"/>
          <w:color w:val="525866"/>
          <w:sz w:val="22"/>
        </w:rPr>
        <w:t>DPZ Q2 FY2026 (quarter ended June 14, 2026) — directly overlaps with SBUX Q3 FY2026 (quarter ended June 30, 2026). Commentary is about DPZ’s then-current reporting quarter and Q3 FY2026 forward trends.</w:t>
      </w:r>
    </w:p>
    <w:p>
      <w:pPr>
        <w:pStyle w:val="ListBullet"/>
        <w:ind w:left="360" w:hanging="360"/>
      </w:pPr>
      <w:r>
        <w:rPr>
          <w:rFonts w:ascii="Calibri" w:hAnsi="Calibri"/>
          <w:b/>
          <w:color w:val="525866"/>
          <w:sz w:val="22"/>
        </w:rPr>
        <w:t xml:space="preserve">QSR Industry Order Counts Flat in Q2: </w:t>
      </w:r>
      <w:r>
        <w:rPr>
          <w:rFonts w:ascii="Calibri" w:hAnsi="Calibri"/>
          <w:color w:val="525866"/>
          <w:sz w:val="22"/>
        </w:rPr>
        <w:t xml:space="preserve">"The QSR industry in the US has been struggling with order counts during a difficult period of macroeconomic uncertainty. We believe this continued in Q2, where QSR order counts were flat." — DPZ management. </w:t>
      </w:r>
      <w:r>
        <w:rPr>
          <w:rFonts w:ascii="Calibri" w:hAnsi="Calibri"/>
          <w:i/>
          <w:color w:val="525866"/>
          <w:sz w:val="22"/>
        </w:rPr>
        <w:t xml:space="preserve">SBUX Read-Through: </w:t>
      </w:r>
      <w:r>
        <w:rPr>
          <w:rFonts w:ascii="Calibri" w:hAnsi="Calibri"/>
          <w:i/>
          <w:color w:val="525866"/>
          <w:sz w:val="22"/>
        </w:rPr>
        <w:t>Flat industry order counts are a headwind for SBUX’s transaction growth thesis. However, SBUX’s Q2 transaction growth of +4.3% significantly outperformed the industry, suggesting brand-specific momentum is overcoming macro pressure. The question is whether this outperformance continued through June.</w:t>
      </w:r>
    </w:p>
    <w:p>
      <w:pPr>
        <w:pStyle w:val="ListBullet"/>
        <w:ind w:left="360" w:hanging="360"/>
      </w:pPr>
      <w:r>
        <w:rPr>
          <w:rFonts w:ascii="Calibri" w:hAnsi="Calibri"/>
          <w:b/>
          <w:color w:val="525866"/>
          <w:sz w:val="22"/>
        </w:rPr>
        <w:t xml:space="preserve">Macro and Competitive Pressure Continuing: </w:t>
      </w:r>
      <w:r>
        <w:rPr>
          <w:rFonts w:ascii="Calibri" w:hAnsi="Calibri"/>
          <w:color w:val="525866"/>
          <w:sz w:val="22"/>
        </w:rPr>
        <w:t xml:space="preserve">"Our business continued to be impacted by a challenging macro environment, which is pressuring consumers as well as heightened competition. The competitive pressures continue through the quarter and are expected to continue through the rest of the year." — DPZ management. </w:t>
      </w:r>
      <w:r>
        <w:rPr>
          <w:rFonts w:ascii="Calibri" w:hAnsi="Calibri"/>
          <w:i/>
          <w:color w:val="525866"/>
          <w:sz w:val="22"/>
        </w:rPr>
        <w:t xml:space="preserve">SBUX Read-Through: </w:t>
      </w:r>
      <w:r>
        <w:rPr>
          <w:rFonts w:ascii="Calibri" w:hAnsi="Calibri"/>
          <w:i/>
          <w:color w:val="525866"/>
          <w:sz w:val="22"/>
        </w:rPr>
        <w:t>Persistent competitive pressure in the broader food/beverage space is relevant for SBUX, particularly as competitors imitate the refresher platform. However, SBUX’s premium positioning and loyalty ecosystem provide some insulation.</w:t>
      </w:r>
    </w:p>
    <w:p>
      <w:pPr>
        <w:pStyle w:val="ListBullet"/>
        <w:ind w:left="360" w:hanging="360"/>
      </w:pPr>
      <w:r>
        <w:rPr>
          <w:rFonts w:ascii="Calibri" w:hAnsi="Calibri"/>
          <w:b/>
          <w:color w:val="525866"/>
          <w:sz w:val="22"/>
        </w:rPr>
        <w:t xml:space="preserve">Ticket Miss Despite Order Count Growth: </w:t>
      </w:r>
      <w:r>
        <w:rPr>
          <w:rFonts w:ascii="Calibri" w:hAnsi="Calibri"/>
          <w:color w:val="525866"/>
          <w:sz w:val="22"/>
        </w:rPr>
        <w:t xml:space="preserve">DPZ reported meaningful order count growth but a "miss on ticket" due to a product that "did not resonate with customers." U.S. SSS grew only +0.1% despite strong order count gains. </w:t>
      </w:r>
      <w:r>
        <w:rPr>
          <w:rFonts w:ascii="Calibri" w:hAnsi="Calibri"/>
          <w:i/>
          <w:color w:val="525866"/>
          <w:sz w:val="22"/>
        </w:rPr>
        <w:t xml:space="preserve">SBUX Read-Through: </w:t>
      </w:r>
      <w:r>
        <w:rPr>
          <w:rFonts w:ascii="Calibri" w:hAnsi="Calibri"/>
          <w:i/>
          <w:color w:val="525866"/>
          <w:sz w:val="22"/>
        </w:rPr>
        <w:t>Highlights the risk that SBUX’s comp growth could be driven by transactions but face ticket headwinds if innovation-led product mix (e.g., new refresher flavors) carries lower average ticket than core beverages. Management noted ~190 bps of product/distribution cost increases in Q2 partly from innovation-led mix.</w:t>
      </w:r>
    </w:p>
    <w:p>
      <w:pPr>
        <w:pStyle w:val="ListBullet"/>
        <w:ind w:left="360" w:hanging="360"/>
      </w:pPr>
      <w:r>
        <w:rPr>
          <w:rFonts w:ascii="Calibri" w:hAnsi="Calibri"/>
          <w:b/>
          <w:color w:val="525866"/>
          <w:sz w:val="22"/>
        </w:rPr>
        <w:t xml:space="preserve">Aggregator Channel as Growth Driver: </w:t>
      </w:r>
      <w:r>
        <w:rPr>
          <w:rFonts w:ascii="Calibri" w:hAnsi="Calibri"/>
          <w:color w:val="525866"/>
          <w:sz w:val="22"/>
        </w:rPr>
        <w:t xml:space="preserve">DPZ grew orders via Uber and DoorDash, becoming "the number one pizza player on both platforms." </w:t>
      </w:r>
      <w:r>
        <w:rPr>
          <w:rFonts w:ascii="Calibri" w:hAnsi="Calibri"/>
          <w:i/>
          <w:color w:val="525866"/>
          <w:sz w:val="22"/>
        </w:rPr>
        <w:t xml:space="preserve">SBUX Read-Through: </w:t>
      </w:r>
      <w:r>
        <w:rPr>
          <w:rFonts w:ascii="Calibri" w:hAnsi="Calibri"/>
          <w:i/>
          <w:color w:val="525866"/>
          <w:sz w:val="22"/>
        </w:rPr>
        <w:t>SBUX’s delivery business grew &gt;30% YTD through Q2 and is described as "largely incremental." DPZ’s experience reinforces that third-party delivery is a sustainable growth channel, though profitability management is critical.</w:t>
      </w:r>
    </w:p>
    <w:p>
      <w:pPr>
        <w:pStyle w:val="ListBullet"/>
        <w:ind w:left="360" w:hanging="360"/>
      </w:pPr>
      <w:r>
        <w:rPr>
          <w:rFonts w:ascii="Calibri" w:hAnsi="Calibri"/>
          <w:b/>
          <w:color w:val="525866"/>
          <w:sz w:val="22"/>
        </w:rPr>
        <w:t xml:space="preserve">Q3 FY2026 Forward Commentary: </w:t>
      </w:r>
      <w:r>
        <w:rPr>
          <w:rFonts w:ascii="Calibri" w:hAnsi="Calibri"/>
          <w:color w:val="525866"/>
          <w:sz w:val="22"/>
        </w:rPr>
        <w:t xml:space="preserve">DPZ noted the ticket mix impact "is much more modest in Q3" as they lapped the prior-year stuffed crust launch, and launched a new pizza innovation "unlike anything we’ve offered before" targeting an incremental occasion. </w:t>
      </w:r>
      <w:r>
        <w:rPr>
          <w:rFonts w:ascii="Calibri" w:hAnsi="Calibri"/>
          <w:i/>
          <w:color w:val="525866"/>
          <w:sz w:val="22"/>
        </w:rPr>
        <w:t xml:space="preserve">SBUX Read-Through: </w:t>
      </w:r>
      <w:r>
        <w:rPr>
          <w:rFonts w:ascii="Calibri" w:hAnsi="Calibri"/>
          <w:i/>
          <w:color w:val="525866"/>
          <w:sz w:val="22"/>
        </w:rPr>
        <w:t>DPZ’s Q3 product innovation targeting new occasions mirrors SBUX’s afternoon daypart strategy. If DPZ’s Q3 innovation drives incremental traffic, it suggests the broader consumer is still willing to engage with new food/beverage occasions.</w:t>
      </w:r>
    </w:p>
    <w:p>
      <w:pPr>
        <w:pStyle w:val="Heading3"/>
      </w:pPr>
      <w:r>
        <w:rPr>
          <w:rFonts w:ascii="Calibri" w:hAnsi="Calibri"/>
          <w:b/>
          <w:color w:val="3B4259"/>
          <w:sz w:val="24"/>
        </w:rPr>
        <w:t>Shake Shack (SHAK) — Oppenheimer Consumer Growth &amp; E-Commerce Conference (June 8, 2026)</w:t>
      </w:r>
    </w:p>
    <w:p>
      <w:r>
        <w:rPr>
          <w:rFonts w:ascii="Calibri" w:hAnsi="Calibri"/>
          <w:b/>
          <w:color w:val="525866"/>
          <w:sz w:val="22"/>
        </w:rPr>
        <w:t xml:space="preserve">Reporting Period Covered: </w:t>
      </w:r>
      <w:r>
        <w:rPr>
          <w:rFonts w:ascii="Calibri" w:hAnsi="Calibri"/>
          <w:color w:val="525866"/>
          <w:sz w:val="22"/>
        </w:rPr>
        <w:t>SHAK Q2 FY2026 (quarter ended June 2026) — commentary is explicitly about SHAK’s then-current Q2 quarter-to-date trends and guidance, which overlaps with SBUX Q3 FY2026.</w:t>
      </w:r>
    </w:p>
    <w:p>
      <w:pPr>
        <w:pStyle w:val="ListBullet"/>
        <w:ind w:left="360" w:hanging="360"/>
      </w:pPr>
      <w:r>
        <w:rPr>
          <w:rFonts w:ascii="Calibri" w:hAnsi="Calibri"/>
          <w:b/>
          <w:color w:val="525866"/>
          <w:sz w:val="22"/>
        </w:rPr>
        <w:t xml:space="preserve">Q2 SSS Target of +2.5% to +3% Despite April Softness: </w:t>
      </w:r>
      <w:r>
        <w:rPr>
          <w:rFonts w:ascii="Calibri" w:hAnsi="Calibri"/>
          <w:color w:val="525866"/>
          <w:sz w:val="22"/>
        </w:rPr>
        <w:t xml:space="preserve">SHAK CEO Rob Lynch noted April comp was -0.6% ("a blip on the radar screen") after delivering +4% to +5% in January–March. To hit Q2 guidance of +2.5% to +3%, SHAK needed ~+4% in May/June. </w:t>
      </w:r>
      <w:r>
        <w:rPr>
          <w:rFonts w:ascii="Calibri" w:hAnsi="Calibri"/>
          <w:i/>
          <w:color w:val="525866"/>
          <w:sz w:val="22"/>
        </w:rPr>
        <w:t xml:space="preserve">SBUX Read-Through: </w:t>
      </w:r>
      <w:r>
        <w:rPr>
          <w:rFonts w:ascii="Calibri" w:hAnsi="Calibri"/>
          <w:i/>
          <w:color w:val="525866"/>
          <w:sz w:val="22"/>
        </w:rPr>
        <w:t>SBUX management noted positive comp trends "continued through April" on the Q2 call. SHAK’s April softness followed by expected May/June recovery suggests the consumer environment was choppy in April but improved — a positive signal for SBUX’s Q3 (April–June) comp trajectory.</w:t>
      </w:r>
    </w:p>
    <w:p>
      <w:pPr>
        <w:pStyle w:val="ListBullet"/>
        <w:ind w:left="360" w:hanging="360"/>
      </w:pPr>
      <w:r>
        <w:rPr>
          <w:rFonts w:ascii="Calibri" w:hAnsi="Calibri"/>
          <w:b/>
          <w:color w:val="525866"/>
          <w:sz w:val="22"/>
        </w:rPr>
        <w:t xml:space="preserve">Elevated Beef and Fuel Costs Pressuring Margins: </w:t>
      </w:r>
      <w:r>
        <w:rPr>
          <w:rFonts w:ascii="Calibri" w:hAnsi="Calibri"/>
          <w:color w:val="525866"/>
          <w:sz w:val="22"/>
        </w:rPr>
        <w:t xml:space="preserve">SHAK reduced EBITDA guidance twice by ~5% total due to beef prices hitting "the highest we’ve seen" in June and fuel surcharges in the supply chain. </w:t>
      </w:r>
      <w:r>
        <w:rPr>
          <w:rFonts w:ascii="Calibri" w:hAnsi="Calibri"/>
          <w:i/>
          <w:color w:val="525866"/>
          <w:sz w:val="22"/>
        </w:rPr>
        <w:t xml:space="preserve">SBUX Read-Through: </w:t>
      </w:r>
      <w:r>
        <w:rPr>
          <w:rFonts w:ascii="Calibri" w:hAnsi="Calibri"/>
          <w:i/>
          <w:color w:val="525866"/>
          <w:sz w:val="22"/>
        </w:rPr>
        <w:t>While SBUX doesn’t sell beef, the broader commodity and logistics inflation signal is relevant. SBUX management flagged ~190 bps of product/distribution cost increases in Q2 from tariffs and elevated coffee prices; SHAK’s experience suggests these pressures may have persisted or intensified through June.</w:t>
      </w:r>
    </w:p>
    <w:p>
      <w:pPr>
        <w:pStyle w:val="ListBullet"/>
        <w:ind w:left="360" w:hanging="360"/>
      </w:pPr>
      <w:r>
        <w:rPr>
          <w:rFonts w:ascii="Calibri" w:hAnsi="Calibri"/>
          <w:b/>
          <w:color w:val="525866"/>
          <w:sz w:val="22"/>
        </w:rPr>
        <w:t xml:space="preserve">Three Straight Quarters of Traffic Growth via Digital: </w:t>
      </w:r>
      <w:r>
        <w:rPr>
          <w:rFonts w:ascii="Calibri" w:hAnsi="Calibri"/>
          <w:color w:val="525866"/>
          <w:sz w:val="22"/>
        </w:rPr>
        <w:t xml:space="preserve">SHAK achieved three consecutive quarters of traffic growth through digital promotions (1-3-5 transitioning to 2-4-6 platform) and marketing investment. CEO noted "industry traffic is down as a whole" but SHAK’s premium guests are "a little bit insulated relative to QSR." </w:t>
      </w:r>
      <w:r>
        <w:rPr>
          <w:rFonts w:ascii="Calibri" w:hAnsi="Calibri"/>
          <w:i/>
          <w:color w:val="525866"/>
          <w:sz w:val="22"/>
        </w:rPr>
        <w:t xml:space="preserve">SBUX Read-Through: </w:t>
      </w:r>
      <w:r>
        <w:rPr>
          <w:rFonts w:ascii="Calibri" w:hAnsi="Calibri"/>
          <w:i/>
          <w:color w:val="525866"/>
          <w:sz w:val="22"/>
        </w:rPr>
        <w:t>Directly supportive of SBUX’s transaction growth thesis. Premium brands with strong digital/loyalty ecosystems are outperforming the broader industry. SBUX’s Rewards program (35.6M active members, record high) and scheduled order pickup launch in May are analogous to SHAK’s digital platform investments.</w:t>
      </w:r>
    </w:p>
    <w:p>
      <w:pPr>
        <w:pStyle w:val="ListBullet"/>
        <w:ind w:left="360" w:hanging="360"/>
      </w:pPr>
      <w:r>
        <w:rPr>
          <w:rFonts w:ascii="Calibri" w:hAnsi="Calibri"/>
          <w:b/>
          <w:color w:val="525866"/>
          <w:sz w:val="22"/>
        </w:rPr>
        <w:t xml:space="preserve">Competitive Environment Intense: </w:t>
      </w:r>
      <w:r>
        <w:rPr>
          <w:rFonts w:ascii="Calibri" w:hAnsi="Calibri"/>
          <w:color w:val="525866"/>
          <w:sz w:val="22"/>
        </w:rPr>
        <w:t xml:space="preserve">"There is a lot of investment in driving traffic by pretty much every concept in the industry" with "very large scale organizations doing $3 meals and $5 this." SHAK chose not to take as much pricing as in the past. </w:t>
      </w:r>
      <w:r>
        <w:rPr>
          <w:rFonts w:ascii="Calibri" w:hAnsi="Calibri"/>
          <w:i/>
          <w:color w:val="525866"/>
          <w:sz w:val="22"/>
        </w:rPr>
        <w:t xml:space="preserve">SBUX Read-Through: </w:t>
      </w:r>
      <w:r>
        <w:rPr>
          <w:rFonts w:ascii="Calibri" w:hAnsi="Calibri"/>
          <w:i/>
          <w:color w:val="525866"/>
          <w:sz w:val="22"/>
        </w:rPr>
        <w:t>SBUX faces similar competitive dynamics, particularly from McDonald’s and Dunkin’ on value. SBUX’s 60-star redemption option (most-used reward, ~1/3 of all redemptions) is its primary value response without broad discounting.</w:t>
      </w:r>
    </w:p>
    <w:p>
      <w:pPr>
        <w:pStyle w:val="Heading3"/>
      </w:pPr>
      <w:r>
        <w:rPr>
          <w:rFonts w:ascii="Calibri" w:hAnsi="Calibri"/>
          <w:b/>
          <w:color w:val="3B4259"/>
          <w:sz w:val="24"/>
        </w:rPr>
        <w:t>KFC Division / Taco Bell (YUM Brands) — European Investor Conference (June 16, 2026)</w:t>
      </w:r>
    </w:p>
    <w:p>
      <w:r>
        <w:rPr>
          <w:rFonts w:ascii="Calibri" w:hAnsi="Calibri"/>
          <w:b/>
          <w:color w:val="525866"/>
          <w:sz w:val="22"/>
        </w:rPr>
        <w:t xml:space="preserve">Reporting Period Covered: </w:t>
      </w:r>
      <w:r>
        <w:rPr>
          <w:rFonts w:ascii="Calibri" w:hAnsi="Calibri"/>
          <w:color w:val="525866"/>
          <w:sz w:val="22"/>
        </w:rPr>
        <w:t>Commentary from KFC Division CEO Tarun Lal at the June 16, 2026 European Investor Conference, covering current-quarter trends and forward-looking strategy for YUM’s brands during the period overlapping SBUX Q3 FY2026.</w:t>
      </w:r>
    </w:p>
    <w:p>
      <w:pPr>
        <w:pStyle w:val="ListBullet"/>
        <w:ind w:left="360" w:hanging="360"/>
      </w:pPr>
      <w:r>
        <w:rPr>
          <w:rFonts w:ascii="Calibri" w:hAnsi="Calibri"/>
          <w:b/>
          <w:color w:val="525866"/>
          <w:sz w:val="22"/>
        </w:rPr>
        <w:t xml:space="preserve">No Material GLP-1 Impact on Traffic: </w:t>
      </w:r>
      <w:r>
        <w:rPr>
          <w:rFonts w:ascii="Calibri" w:hAnsi="Calibri"/>
          <w:color w:val="525866"/>
          <w:sz w:val="22"/>
        </w:rPr>
        <w:t xml:space="preserve">"We haven’t seen in the data a material impact from GLP-1." KFC U.S. improved from -5% SSS to +1% to +2%, and Taco Bell U.S. SSS accelerated to +6% to +7% during the same period GLP-1 usage was increasing. </w:t>
      </w:r>
      <w:r>
        <w:rPr>
          <w:rFonts w:ascii="Calibri" w:hAnsi="Calibri"/>
          <w:i/>
          <w:color w:val="525866"/>
          <w:sz w:val="22"/>
        </w:rPr>
        <w:t xml:space="preserve">SBUX Read-Through: </w:t>
      </w:r>
      <w:r>
        <w:rPr>
          <w:rFonts w:ascii="Calibri" w:hAnsi="Calibri"/>
          <w:i/>
          <w:color w:val="525866"/>
          <w:sz w:val="22"/>
        </w:rPr>
        <w:t>Directly positive for SBUX. A key bear concern has been that GLP-1 adoption would reduce beverage consumption frequency. YUM’s data suggests this fear is overstated. SBUX’s protein cold foam and wellness platform (collagen, creatine additions planned) are also well-positioned to capture GLP-1 users seeking protein occasions.</w:t>
      </w:r>
    </w:p>
    <w:p>
      <w:pPr>
        <w:pStyle w:val="ListBullet"/>
        <w:ind w:left="360" w:hanging="360"/>
      </w:pPr>
      <w:r>
        <w:rPr>
          <w:rFonts w:ascii="Calibri" w:hAnsi="Calibri"/>
          <w:b/>
          <w:color w:val="525866"/>
          <w:sz w:val="22"/>
        </w:rPr>
        <w:t xml:space="preserve">Consumer Wants More Protein and Smaller/Snackable Sizes: </w:t>
      </w:r>
      <w:r>
        <w:rPr>
          <w:rFonts w:ascii="Calibri" w:hAnsi="Calibri"/>
          <w:color w:val="525866"/>
          <w:sz w:val="22"/>
        </w:rPr>
        <w:t xml:space="preserve">"More protein is what the consumer wants. They want smaller sizes, more snackable." KFC is leaning into the snacking occasion as a lower price point that allows consumers to access the brand. </w:t>
      </w:r>
      <w:r>
        <w:rPr>
          <w:rFonts w:ascii="Calibri" w:hAnsi="Calibri"/>
          <w:i/>
          <w:color w:val="525866"/>
          <w:sz w:val="22"/>
        </w:rPr>
        <w:t xml:space="preserve">SBUX Read-Through: </w:t>
      </w:r>
      <w:r>
        <w:rPr>
          <w:rFonts w:ascii="Calibri" w:hAnsi="Calibri"/>
          <w:i/>
          <w:color w:val="525866"/>
          <w:sz w:val="22"/>
        </w:rPr>
        <w:t>Directly aligned with SBUX’s afternoon daypart strategy and food innovation (egg bite pivots into afternoon snack occasions, protein cold foam). The snacking occasion is an incremental revenue opportunity for SBUX that management has explicitly called out as not yet embedded in near-term guidance.</w:t>
      </w:r>
    </w:p>
    <w:p>
      <w:pPr>
        <w:pStyle w:val="ListBullet"/>
        <w:ind w:left="360" w:hanging="360"/>
      </w:pPr>
      <w:r>
        <w:rPr>
          <w:rFonts w:ascii="Calibri" w:hAnsi="Calibri"/>
          <w:b/>
          <w:color w:val="525866"/>
          <w:sz w:val="22"/>
        </w:rPr>
        <w:t xml:space="preserve">Loyalty Programs Drive Frequency: </w:t>
      </w:r>
      <w:r>
        <w:rPr>
          <w:rFonts w:ascii="Calibri" w:hAnsi="Calibri"/>
          <w:color w:val="525866"/>
          <w:sz w:val="22"/>
        </w:rPr>
        <w:t xml:space="preserve">KFC acknowledged being "way behind on loyalty" but noted loyalty customers "access the brand more frequently so it drives frequency." Goal is for all top 20 markets to have a loyalty program this year. </w:t>
      </w:r>
      <w:r>
        <w:rPr>
          <w:rFonts w:ascii="Calibri" w:hAnsi="Calibri"/>
          <w:i/>
          <w:color w:val="525866"/>
          <w:sz w:val="22"/>
        </w:rPr>
        <w:t xml:space="preserve">SBUX Read-Through: </w:t>
      </w:r>
      <w:r>
        <w:rPr>
          <w:rFonts w:ascii="Calibri" w:hAnsi="Calibri"/>
          <w:i/>
          <w:color w:val="525866"/>
          <w:sz w:val="22"/>
        </w:rPr>
        <w:t>Reinforces the strategic value of SBUX’s Rewards program. SBUX’s 35.6M active members and the new tiered program (launched March 2026) are a significant competitive moat. KFC’s acknowledgment of being behind on loyalty underscores how far ahead SBUX is in this dimension.</w:t>
      </w:r>
    </w:p>
    <w:p>
      <w:pPr>
        <w:pStyle w:val="ListBullet"/>
        <w:ind w:left="360" w:hanging="360"/>
      </w:pPr>
      <w:r>
        <w:rPr>
          <w:rFonts w:ascii="Calibri" w:hAnsi="Calibri"/>
          <w:b/>
          <w:color w:val="525866"/>
          <w:sz w:val="22"/>
        </w:rPr>
        <w:t xml:space="preserve">AI and Technology as Back-of-House Efficiency Drivers: </w:t>
      </w:r>
      <w:r>
        <w:rPr>
          <w:rFonts w:ascii="Calibri" w:hAnsi="Calibri"/>
          <w:color w:val="525866"/>
          <w:sz w:val="22"/>
        </w:rPr>
        <w:t xml:space="preserve">YUM is using AI for labor scheduling, inventory ordering, and personalization. Taco Bell’s AI drive-through speaker scored higher on "friendliness" than human staff. </w:t>
      </w:r>
      <w:r>
        <w:rPr>
          <w:rFonts w:ascii="Calibri" w:hAnsi="Calibri"/>
          <w:i/>
          <w:color w:val="525866"/>
          <w:sz w:val="22"/>
        </w:rPr>
        <w:t xml:space="preserve">SBUX Read-Through: </w:t>
      </w:r>
      <w:r>
        <w:rPr>
          <w:rFonts w:ascii="Calibri" w:hAnsi="Calibri"/>
          <w:i/>
          <w:color w:val="525866"/>
          <w:sz w:val="22"/>
        </w:rPr>
        <w:t>SBUX management has highlighted smart queue technology, AI-driven supply chain forecasting, and a ChatGPT pilot as near-term technology investments. YUM’s experience validates that AI can improve both customer experience and partner efficiency — key to SBUX’s throughput improvement thesis.</w:t>
      </w:r>
    </w:p>
    <w:p>
      <w:r>
        <w:rPr>
          <w:rFonts w:ascii="Calibri" w:hAnsi="Calibri"/>
          <w:i/>
          <w:color w:val="525866"/>
          <w:sz w:val="22"/>
        </w:rPr>
        <w:t xml:space="preserve">Source: SEC Form 4 Filings (Insider Transaction Data). </w:t>
      </w:r>
      <w:r>
        <w:rPr>
          <w:rFonts w:ascii="Calibri" w:hAnsi="Calibri"/>
          <w:i/>
          <w:color w:val="525866"/>
          <w:sz w:val="22"/>
        </w:rPr>
        <w:t>All four transactions are 10b5-1 pre-planned sales — obligation-driven, not discretionary. No open-market buys or discretionary sells were filed in the period. The absence of any open-market buying is not unusual given the stock’s strong post-Q2 performance (+6% since earnings). No 10b5-1 plan initiations were disclosed in the period.</w:t>
      </w:r>
    </w:p>
    <w:p>
      <w:r>
        <w:rPr>
          <w:rFonts w:ascii="Calibri" w:hAnsi="Calibri"/>
          <w:b/>
          <w:color w:val="525866"/>
          <w:sz w:val="22"/>
        </w:rPr>
        <w:t xml:space="preserve">Disclaimer: </w:t>
      </w:r>
      <w:r>
        <w:rPr>
          <w:rFonts w:ascii="Calibri" w:hAnsi="Calibri"/>
          <w:i/>
          <w:color w:val="525866"/>
          <w:sz w:val="22"/>
        </w:rPr>
        <w:t>This document is prepared for informational purposes only and is based on publicly available data and consensus estimates as of July 28, 2026. All Visible Alpha consensus figures are sourced from Visible Alpha Consensus and Actuals Data. Stock price data sourced from Yahoo Finance. Insider transaction data sourced from SEC EDGAR Form 4 filings. Peer commentary sourced from publicly available conference transcripts and earnings call transcripts. This is not investment advice.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