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hw-earnings-predictions--2026-07-28"/>
    <w:p>
      <w:pPr>
        <w:pStyle w:val="Heading1"/>
      </w:pPr>
      <w:r>
        <w:t xml:space="preserve">SHW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SHW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Q2'26 Adjusted diluted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~$3.58 vs. cons $3.55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SHW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Q2'26 Net sales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~$6.50B vs. cons $6.62B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SHW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Paint Stores Group sales (volume tell)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~$3.78B vs. cons $3.85B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SHW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~$11.70 midpoint (reaffirm</w:t>
            </w:r>
            <w:r>
              <w:t xml:space="preserve"> </w:t>
            </w:r>
            <m:oMath>
              <m:r>
                <m:t>11.50</m:t>
              </m:r>
              <m:r>
                <m:rPr>
                  <m:sty m:val="p"/>
                </m:rPr>
                <m:t>−</m:t>
              </m:r>
            </m:oMath>
            <w:r>
              <w:t xml:space="preserve">11.90) vs. cons $11.77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SHW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Net sales growth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~+3% (low-to-mid single digit) vs. cons ~+4%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SHW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raw-material inflation / gross-margin commentary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~mid-single-digit inflation vs. prior low-to-mid single digit (FY2026 H2)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SHW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SHW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(FOLLOW-THROUGH)</w:t>
            </w:r>
          </w:p>
        </w:tc>
        <w:tc>
          <w:tcPr/>
          <w:p>
            <w:pPr>
              <w:pStyle w:val="Compact"/>
            </w:pPr>
            <w:r>
              <w:t xml:space="preserve">EPS lands roughly in-line while revenue/volumes stay soft and management merely reaffirms an FY guide whose $11.70 midpoint sits below the $11.77 consensus. With propylene/raw-material inflation ramping into H2 and PSG volumes still weak, the reaffirm is implicitly a cut versus where the Street sits; out-period estimates drift lower and the ~5% pre-print bounce (July 23 $310.5 to $327.3) unwinds, so the modest day-1 downside follows through rather than reverses.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2026-07-28T00:46:30Z</dcterms:created>
  <dcterms:modified xsi:type="dcterms:W3CDTF">2026-07-28T00:46:30Z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