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f38e3aa7a0d8812e29ba95a6d1ad6ddeafc489c"/>
    <w:p>
      <w:pPr>
        <w:pStyle w:val="Heading1"/>
      </w:pPr>
      <w:r>
        <w:t xml:space="preserve">Sherwin-Williams Q2 2026 Earnings Preview</w:t>
      </w:r>
    </w:p>
    <w:p>
      <w:pPr>
        <w:pStyle w:val="BlockText"/>
      </w:pPr>
      <w:r>
        <w:rPr>
          <w:b/>
          <w:bCs/>
        </w:rPr>
        <w:t xml:space="preserve">Timing clarification:</w:t>
      </w:r>
      <w:r>
        <w:t xml:space="preserve"> </w:t>
      </w:r>
      <w:r>
        <w:t xml:space="preserve">Sherwin-Williams is scheduled to report</w:t>
      </w:r>
      <w:r>
        <w:t xml:space="preserve"> </w:t>
      </w:r>
      <w:r>
        <w:rPr>
          <w:b/>
          <w:bCs/>
        </w:rPr>
        <w:t xml:space="preserve">today, Tuesday, July 28, 2026</w:t>
      </w:r>
      <w:r>
        <w:t xml:space="preserve">, before the market opens—not tomorrow. The earnings call is scheduled for</w:t>
      </w:r>
      <w:r>
        <w:t xml:space="preserve"> </w:t>
      </w:r>
      <w:r>
        <w:rPr>
          <w:b/>
          <w:bCs/>
        </w:rPr>
        <w:t xml:space="preserve">10:00 a.m. EDT</w:t>
      </w:r>
      <w:r>
        <w:t xml:space="preserve">.</w:t>
      </w:r>
    </w:p>
    <w:bookmarkStart w:id="9" w:name="investment-setup"/>
    <w:p>
      <w:pPr>
        <w:pStyle w:val="Heading2"/>
      </w:pPr>
      <w:r>
        <w:t xml:space="preserve">Investment setup</w:t>
      </w:r>
    </w:p>
    <w:p>
      <w:pPr>
        <w:pStyle w:val="FirstParagraph"/>
      </w:pPr>
      <w:r>
        <w:t xml:space="preserve">Sherwin-Williams enters the report with a familiar combination:</w:t>
      </w:r>
      <w:r>
        <w:t xml:space="preserve"> </w:t>
      </w:r>
      <w:r>
        <w:rPr>
          <w:b/>
          <w:bCs/>
        </w:rPr>
        <w:t xml:space="preserve">weak underlying end markets, company-specific market-share gains, rising prices, and increasing input-cost risk</w:t>
      </w:r>
      <w:r>
        <w:t xml:space="preserve">.</w:t>
      </w:r>
    </w:p>
    <w:p>
      <w:pPr>
        <w:pStyle w:val="BodyText"/>
      </w:pPr>
      <w:r>
        <w:t xml:space="preserve">The most important question is not whether reported sales grow—management has already guided to mid-single-digit growth—but</w:t>
      </w:r>
      <w:r>
        <w:t xml:space="preserve"> </w:t>
      </w:r>
      <w:r>
        <w:rPr>
          <w:b/>
          <w:bCs/>
        </w:rPr>
        <w:t xml:space="preserve">how much of that growth reflects sustainable volume and share gains rather than Suvinil, currency, and pricing</w:t>
      </w:r>
      <w:r>
        <w:t xml:space="preserve">. Investors should also focus on whether pricing and cost reductions can preserve margins as raw-material inflation begins flowing through the income statement.</w:t>
      </w:r>
    </w:p>
    <w:p>
      <w:pPr>
        <w:pStyle w:val="BodyText"/>
      </w:pPr>
      <w:r>
        <w:t xml:space="preserve">The shares closed at</w:t>
      </w:r>
      <w:r>
        <w:t xml:space="preserve"> </w:t>
      </w:r>
      <w:r>
        <w:rPr>
          <w:b/>
          <w:bCs/>
        </w:rPr>
        <w:t xml:space="preserve">$327.31 on July 27</w:t>
      </w:r>
      <w:r>
        <w:t xml:space="preserve">, approximately 3% below their pre-Q1 level and 7% below their July 2 high. Expectations do not appear excessive, but maintaining the full-year earnings outlook is likely already embedded in the setup.</w:t>
      </w:r>
    </w:p>
    <w:bookmarkEnd w:id="9"/>
    <w:bookmarkStart w:id="10" w:name="the-company-set-bar"/>
    <w:p>
      <w:pPr>
        <w:pStyle w:val="Heading2"/>
      </w:pPr>
      <w:r>
        <w:t xml:space="preserve">The company-set bar</w:t>
      </w:r>
    </w:p>
    <w:p>
      <w:pPr>
        <w:pStyle w:val="FirstParagraph"/>
      </w:pPr>
      <w:r>
        <w:t xml:space="preserve">Sherwin-Williams has not provided quarterly EPS guidance, making sales quality, margins, and the updated outlook more informative than the headline EPS comparison.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Relevant benchmark</w:t>
            </w:r>
          </w:p>
        </w:tc>
      </w:tr>
      <w:tr>
        <w:tc>
          <w:tcPr/>
          <w:p>
            <w:pPr>
              <w:pStyle w:val="Compact"/>
            </w:pPr>
            <w:r>
              <w:t xml:space="preserve">Q2 2025 sales</w:t>
            </w:r>
          </w:p>
        </w:tc>
        <w:tc>
          <w:tcPr/>
          <w:p>
            <w:pPr>
              <w:pStyle w:val="Compact"/>
              <w:jc w:val="right"/>
            </w:pPr>
            <w:r>
              <w:t xml:space="preserve">$6.315 billion</w:t>
            </w:r>
          </w:p>
        </w:tc>
      </w:tr>
      <w:tr>
        <w:tc>
          <w:tcPr/>
          <w:p>
            <w:pPr>
              <w:pStyle w:val="Compact"/>
            </w:pPr>
            <w:r>
              <w:t xml:space="preserve">Q2 2026 sales guidance</w:t>
            </w:r>
          </w:p>
        </w:tc>
        <w:tc>
          <w:tcPr/>
          <w:p>
            <w:pPr>
              <w:pStyle w:val="Compact"/>
              <w:jc w:val="right"/>
            </w:pPr>
            <w:r>
              <w:t xml:space="preserve">Up mid-single digits</w:t>
            </w:r>
          </w:p>
        </w:tc>
      </w:tr>
      <w:tr>
        <w:tc>
          <w:tcPr/>
          <w:p>
            <w:pPr>
              <w:pStyle w:val="Compact"/>
            </w:pPr>
            <w:r>
              <w:t xml:space="preserve">Implied Q2 sales range*</w:t>
            </w:r>
          </w:p>
        </w:tc>
        <w:tc>
          <w:tcPr/>
          <w:p>
            <w:pPr>
              <w:pStyle w:val="Compact"/>
              <w:jc w:val="right"/>
            </w:pPr>
            <w:r>
              <w:t xml:space="preserve">Approximately</w:t>
            </w:r>
            <w:r>
              <w:t xml:space="preserve"> </w:t>
            </w:r>
            <m:oMath>
              <m:r>
                <m:t>6.57</m:t>
              </m:r>
              <m:r>
                <m:rPr>
                  <m:sty m:val="p"/>
                </m:rPr>
                <m:t>–</m:t>
              </m:r>
            </m:oMath>
            <w:r>
              <w:t xml:space="preserve">6.69 billion</w:t>
            </w:r>
          </w:p>
        </w:tc>
      </w:tr>
      <w:tr>
        <w:tc>
          <w:tcPr/>
          <w:p>
            <w:pPr>
              <w:pStyle w:val="Compact"/>
            </w:pPr>
            <w:r>
              <w:t xml:space="preserve">Implied midpoint*</w:t>
            </w:r>
          </w:p>
        </w:tc>
        <w:tc>
          <w:tcPr/>
          <w:p>
            <w:pPr>
              <w:pStyle w:val="Compact"/>
              <w:jc w:val="right"/>
            </w:pPr>
            <w:r>
              <w:t xml:space="preserve">Approximately $6.63 billion</w:t>
            </w:r>
          </w:p>
        </w:tc>
      </w:tr>
      <w:tr>
        <w:tc>
          <w:tcPr/>
          <w:p>
            <w:pPr>
              <w:pStyle w:val="Compact"/>
            </w:pPr>
            <w:r>
              <w:t xml:space="preserve">Q2 2025 adjusted EPS</w:t>
            </w:r>
          </w:p>
        </w:tc>
        <w:tc>
          <w:tcPr/>
          <w:p>
            <w:pPr>
              <w:pStyle w:val="Compact"/>
              <w:jc w:val="right"/>
            </w:pPr>
            <w:r>
              <w:t xml:space="preserve">$3.38</w:t>
            </w:r>
          </w:p>
        </w:tc>
      </w:tr>
      <w:tr>
        <w:tc>
          <w:tcPr/>
          <w:p>
            <w:pPr>
              <w:pStyle w:val="Compact"/>
            </w:pPr>
            <w:r>
              <w:t xml:space="preserve">Q2 2025 gross margin</w:t>
            </w:r>
          </w:p>
        </w:tc>
        <w:tc>
          <w:tcPr/>
          <w:p>
            <w:pPr>
              <w:pStyle w:val="Compact"/>
              <w:jc w:val="right"/>
            </w:pPr>
            <w:r>
              <w:t xml:space="preserve">49.4%</w:t>
            </w:r>
          </w:p>
        </w:tc>
      </w:tr>
      <w:tr>
        <w:tc>
          <w:tcPr/>
          <w:p>
            <w:pPr>
              <w:pStyle w:val="Compact"/>
            </w:pPr>
            <w:r>
              <w:t xml:space="preserve">FY2026 adjusted EPS guidance</w:t>
            </w:r>
          </w:p>
        </w:tc>
        <w:tc>
          <w:tcPr/>
          <w:p>
            <w:pPr>
              <w:pStyle w:val="Compact"/>
              <w:jc w:val="right"/>
            </w:pPr>
            <m:oMath>
              <m:r>
                <m:t>11.50</m:t>
              </m:r>
              <m:r>
                <m:rPr>
                  <m:sty m:val="p"/>
                </m:rPr>
                <m:t>–</m:t>
              </m:r>
            </m:oMath>
            <w:r>
              <w:t xml:space="preserve">11.90</w:t>
            </w:r>
          </w:p>
        </w:tc>
      </w:tr>
      <w:tr>
        <w:tc>
          <w:tcPr/>
          <w:p>
            <w:pPr>
              <w:pStyle w:val="Compact"/>
            </w:pPr>
            <w:r>
              <w:t xml:space="preserve">FY2025 adjusted EPS</w:t>
            </w:r>
          </w:p>
        </w:tc>
        <w:tc>
          <w:tcPr/>
          <w:p>
            <w:pPr>
              <w:pStyle w:val="Compact"/>
              <w:jc w:val="right"/>
            </w:pPr>
            <w:r>
              <w:t xml:space="preserve">$11.43</w:t>
            </w:r>
          </w:p>
        </w:tc>
      </w:tr>
    </w:tbl>
    <w:p>
      <w:pPr>
        <w:pStyle w:val="BodyText"/>
      </w:pPr>
      <w:r>
        <w:t xml:space="preserve">*Treating “mid-single digits” as approximately 4%–6%.</w:t>
      </w:r>
    </w:p>
    <w:p>
      <w:pPr>
        <w:pStyle w:val="BodyText"/>
      </w:pPr>
      <w:r>
        <w:t xml:space="preserve">The full-year EPS range implies growth of only about</w:t>
      </w:r>
      <w:r>
        <w:t xml:space="preserve"> </w:t>
      </w:r>
      <w:r>
        <w:rPr>
          <w:b/>
          <w:bCs/>
        </w:rPr>
        <w:t xml:space="preserve">1%–4%</w:t>
      </w:r>
      <w:r>
        <w:t xml:space="preserve">, or 2.4% at the midpoint. That leaves limited room for execution problems once raw-material inflation intensifies.</w:t>
      </w:r>
    </w:p>
    <w:bookmarkEnd w:id="10"/>
    <w:bookmarkStart w:id="17" w:name="what-matters-most"/>
    <w:p>
      <w:pPr>
        <w:pStyle w:val="Heading2"/>
      </w:pPr>
      <w:r>
        <w:t xml:space="preserve">What matters most</w:t>
      </w:r>
    </w:p>
    <w:bookmarkStart w:id="11" w:name="Xd950474151680b5f9407310fddf5437c731829d"/>
    <w:p>
      <w:pPr>
        <w:pStyle w:val="Heading3"/>
      </w:pPr>
      <w:r>
        <w:t xml:space="preserve">1. Paint Stores: Is share gain still overcoming weak markets?</w:t>
      </w:r>
    </w:p>
    <w:p>
      <w:pPr>
        <w:pStyle w:val="FirstParagraph"/>
      </w:pPr>
      <w:r>
        <w:t xml:space="preserve">Paint Stores Group is Sherwin-Williams’ core earnings engine. First-quarter sales increased 3.7%, with same-store sales up 2.4%. Both price and volume contributed, despite little broad-based market recovery.</w:t>
      </w:r>
    </w:p>
    <w:p>
      <w:pPr>
        <w:pStyle w:val="BodyText"/>
      </w:pPr>
      <w:r>
        <w:t xml:space="preserve">The strongest areas entering Q2 were:</w:t>
      </w:r>
    </w:p>
    <w:p>
      <w:pPr>
        <w:pStyle w:val="Compact"/>
        <w:numPr>
          <w:ilvl w:val="0"/>
          <w:numId w:val="1001"/>
        </w:numPr>
      </w:pPr>
      <w:r>
        <w:rPr>
          <w:b/>
          <w:bCs/>
        </w:rPr>
        <w:t xml:space="preserve">Protective and marine:</w:t>
      </w:r>
      <w:r>
        <w:t xml:space="preserve"> </w:t>
      </w:r>
      <w:r>
        <w:t xml:space="preserve">double-digit growth in Q1 and at least high-single-digit growth for seven consecutive quarters.</w:t>
      </w:r>
    </w:p>
    <w:p>
      <w:pPr>
        <w:pStyle w:val="Compact"/>
        <w:numPr>
          <w:ilvl w:val="0"/>
          <w:numId w:val="1001"/>
        </w:numPr>
      </w:pPr>
      <w:r>
        <w:rPr>
          <w:b/>
          <w:bCs/>
        </w:rPr>
        <w:t xml:space="preserve">Residential repaint:</w:t>
      </w:r>
      <w:r>
        <w:t xml:space="preserve"> </w:t>
      </w:r>
      <w:r>
        <w:t xml:space="preserve">mid-single-digit growth despite a flat-to-down market.</w:t>
      </w:r>
    </w:p>
    <w:p>
      <w:pPr>
        <w:pStyle w:val="Compact"/>
        <w:numPr>
          <w:ilvl w:val="0"/>
          <w:numId w:val="1001"/>
        </w:numPr>
      </w:pPr>
      <w:r>
        <w:rPr>
          <w:b/>
          <w:bCs/>
        </w:rPr>
        <w:t xml:space="preserve">Commercial:</w:t>
      </w:r>
      <w:r>
        <w:t xml:space="preserve"> </w:t>
      </w:r>
      <w:r>
        <w:t xml:space="preserve">mid-single-digit growth despite weak project completions.</w:t>
      </w:r>
    </w:p>
    <w:p>
      <w:pPr>
        <w:pStyle w:val="Compact"/>
        <w:numPr>
          <w:ilvl w:val="0"/>
          <w:numId w:val="1001"/>
        </w:numPr>
      </w:pPr>
      <w:r>
        <w:rPr>
          <w:b/>
          <w:bCs/>
        </w:rPr>
        <w:t xml:space="preserve">Property maintenance:</w:t>
      </w:r>
      <w:r>
        <w:t xml:space="preserve"> </w:t>
      </w:r>
      <w:r>
        <w:t xml:space="preserve">modestly positive.</w:t>
      </w:r>
    </w:p>
    <w:p>
      <w:pPr>
        <w:pStyle w:val="Compact"/>
        <w:numPr>
          <w:ilvl w:val="0"/>
          <w:numId w:val="1001"/>
        </w:numPr>
      </w:pPr>
      <w:r>
        <w:rPr>
          <w:b/>
          <w:bCs/>
        </w:rPr>
        <w:t xml:space="preserve">New residential:</w:t>
      </w:r>
      <w:r>
        <w:t xml:space="preserve"> </w:t>
      </w:r>
      <w:r>
        <w:t xml:space="preserve">still declining.</w:t>
      </w:r>
    </w:p>
    <w:p>
      <w:pPr>
        <w:pStyle w:val="FirstParagraph"/>
      </w:pPr>
      <w:r>
        <w:t xml:space="preserve">The best outcome would be continued positive volume alongside pricing. If Paint Stores growth is primarily price-driven while volume turns negative, investors may question the durability of market-share gains and the second-half earnings outlook.</w:t>
      </w:r>
    </w:p>
    <w:p>
      <w:pPr>
        <w:pStyle w:val="BodyText"/>
      </w:pPr>
      <w:r>
        <w:rPr>
          <w:b/>
          <w:bCs/>
        </w:rPr>
        <w:t xml:space="preserve">Key figures to watch:</w:t>
      </w:r>
      <w:r>
        <w:t xml:space="preserve"> </w:t>
      </w:r>
      <w:r>
        <w:t xml:space="preserve">same-store sales, volume versus price/mix, residential repaint growth, and PSG segment margin. The Q2 2025 PSG margin was 24.8%.</w:t>
      </w:r>
    </w:p>
    <w:bookmarkEnd w:id="11"/>
    <w:bookmarkStart w:id="12" w:name="X8f149e6d7b2d6556ed9a9b94ae0d438f1618249"/>
    <w:p>
      <w:pPr>
        <w:pStyle w:val="Heading3"/>
      </w:pPr>
      <w:r>
        <w:t xml:space="preserve">2. The quality of consolidated sales growth</w:t>
      </w:r>
    </w:p>
    <w:p>
      <w:pPr>
        <w:pStyle w:val="FirstParagraph"/>
      </w:pPr>
      <w:r>
        <w:t xml:space="preserve">First-quarter consolidated sales rose 6.8%, but acquisitions contributed 2.7 percentage points and currency added 1.7 points. The distinction was particularly stark in Consumer Brands:</w:t>
      </w:r>
    </w:p>
    <w:p>
      <w:pPr>
        <w:pStyle w:val="Compact"/>
        <w:numPr>
          <w:ilvl w:val="0"/>
          <w:numId w:val="1002"/>
        </w:numPr>
      </w:pPr>
      <w:r>
        <w:t xml:space="preserve">Reported CBG sales:</w:t>
      </w:r>
      <w:r>
        <w:t xml:space="preserve"> </w:t>
      </w:r>
      <w:r>
        <w:rPr>
          <w:b/>
          <w:bCs/>
        </w:rPr>
        <w:t xml:space="preserve">+19.2%</w:t>
      </w:r>
    </w:p>
    <w:p>
      <w:pPr>
        <w:pStyle w:val="Compact"/>
        <w:numPr>
          <w:ilvl w:val="0"/>
          <w:numId w:val="1002"/>
        </w:numPr>
      </w:pPr>
      <w:r>
        <w:t xml:space="preserve">Acquisition contribution:</w:t>
      </w:r>
      <w:r>
        <w:t xml:space="preserve"> </w:t>
      </w:r>
      <w:r>
        <w:rPr>
          <w:b/>
          <w:bCs/>
        </w:rPr>
        <w:t xml:space="preserve">+17.2%</w:t>
      </w:r>
    </w:p>
    <w:p>
      <w:pPr>
        <w:pStyle w:val="Compact"/>
        <w:numPr>
          <w:ilvl w:val="0"/>
          <w:numId w:val="1002"/>
        </w:numPr>
      </w:pPr>
      <w:r>
        <w:t xml:space="preserve">Currency contribution:</w:t>
      </w:r>
      <w:r>
        <w:t xml:space="preserve"> </w:t>
      </w:r>
      <w:r>
        <w:rPr>
          <w:b/>
          <w:bCs/>
        </w:rPr>
        <w:t xml:space="preserve">+2.4%</w:t>
      </w:r>
    </w:p>
    <w:p>
      <w:pPr>
        <w:pStyle w:val="Compact"/>
        <w:numPr>
          <w:ilvl w:val="0"/>
          <w:numId w:val="1002"/>
        </w:numPr>
      </w:pPr>
      <w:r>
        <w:t xml:space="preserve">North American DIY: down low single digits</w:t>
      </w:r>
    </w:p>
    <w:p>
      <w:pPr>
        <w:pStyle w:val="FirstParagraph"/>
      </w:pPr>
      <w:r>
        <w:t xml:space="preserve">Because Suvinil was acquired in October 2025, it will again provide a sizable year-over-year Q2 contribution. Investors should therefore separate:</w:t>
      </w:r>
    </w:p>
    <w:p>
      <w:pPr>
        <w:pStyle w:val="Compact"/>
        <w:numPr>
          <w:ilvl w:val="0"/>
          <w:numId w:val="1003"/>
        </w:numPr>
      </w:pPr>
      <w:r>
        <w:t xml:space="preserve">Suvinil growth,</w:t>
      </w:r>
    </w:p>
    <w:p>
      <w:pPr>
        <w:pStyle w:val="Compact"/>
        <w:numPr>
          <w:ilvl w:val="0"/>
          <w:numId w:val="1003"/>
        </w:numPr>
      </w:pPr>
      <w:r>
        <w:t xml:space="preserve">currency,</w:t>
      </w:r>
    </w:p>
    <w:p>
      <w:pPr>
        <w:pStyle w:val="Compact"/>
        <w:numPr>
          <w:ilvl w:val="0"/>
          <w:numId w:val="1003"/>
        </w:numPr>
      </w:pPr>
      <w:r>
        <w:t xml:space="preserve">pricing, and</w:t>
      </w:r>
    </w:p>
    <w:p>
      <w:pPr>
        <w:pStyle w:val="Compact"/>
        <w:numPr>
          <w:ilvl w:val="0"/>
          <w:numId w:val="1003"/>
        </w:numPr>
      </w:pPr>
      <w:r>
        <w:t xml:space="preserve">underlying organic volume.</w:t>
      </w:r>
    </w:p>
    <w:p>
      <w:pPr>
        <w:pStyle w:val="FirstParagraph"/>
      </w:pPr>
      <w:r>
        <w:t xml:space="preserve">A mid-single-digit consolidated sales result could still be disappointing if legacy volumes weaken materially.</w:t>
      </w:r>
    </w:p>
    <w:bookmarkEnd w:id="12"/>
    <w:bookmarkStart w:id="13" w:name="X2dbcca01b8c6613f378d55c8478d3949b6e2280"/>
    <w:p>
      <w:pPr>
        <w:pStyle w:val="Heading3"/>
      </w:pPr>
      <w:r>
        <w:t xml:space="preserve">3. Price versus raw-material inflation</w:t>
      </w:r>
    </w:p>
    <w:p>
      <w:pPr>
        <w:pStyle w:val="FirstParagraph"/>
      </w:pPr>
      <w:r>
        <w:t xml:space="preserve">This is likely the report’s central debate.</w:t>
      </w:r>
    </w:p>
    <w:p>
      <w:pPr>
        <w:pStyle w:val="BodyText"/>
      </w:pPr>
      <w:r>
        <w:t xml:space="preserve">Following Q1, management:</w:t>
      </w:r>
    </w:p>
    <w:p>
      <w:pPr>
        <w:pStyle w:val="Compact"/>
        <w:numPr>
          <w:ilvl w:val="0"/>
          <w:numId w:val="1004"/>
        </w:numPr>
      </w:pPr>
      <w:r>
        <w:t xml:space="preserve">Raised its 2026 raw-material inflation forecast to</w:t>
      </w:r>
      <w:r>
        <w:t xml:space="preserve"> </w:t>
      </w:r>
      <w:r>
        <w:rPr>
          <w:b/>
          <w:bCs/>
        </w:rPr>
        <w:t xml:space="preserve">low-to-mid-single digits</w:t>
      </w:r>
      <w:r>
        <w:t xml:space="preserve">.</w:t>
      </w:r>
    </w:p>
    <w:p>
      <w:pPr>
        <w:pStyle w:val="Compact"/>
        <w:numPr>
          <w:ilvl w:val="0"/>
          <w:numId w:val="1004"/>
        </w:numPr>
      </w:pPr>
      <w:r>
        <w:t xml:space="preserve">Expected the pressure to become more material through Q2 and especially in the second half.</w:t>
      </w:r>
    </w:p>
    <w:p>
      <w:pPr>
        <w:pStyle w:val="Compact"/>
        <w:numPr>
          <w:ilvl w:val="0"/>
          <w:numId w:val="1004"/>
        </w:numPr>
      </w:pPr>
      <w:r>
        <w:t xml:space="preserve">Increased expected full-year price/mix to the high end of its low-single-digit range.</w:t>
      </w:r>
    </w:p>
    <w:p>
      <w:pPr>
        <w:pStyle w:val="Compact"/>
        <w:numPr>
          <w:ilvl w:val="0"/>
          <w:numId w:val="1004"/>
        </w:numPr>
      </w:pPr>
      <w:r>
        <w:t xml:space="preserve">Said the pricing embedded in guidance was more than twice the amount assumed at the start of the year.</w:t>
      </w:r>
    </w:p>
    <w:p>
      <w:pPr>
        <w:pStyle w:val="Compact"/>
        <w:numPr>
          <w:ilvl w:val="0"/>
          <w:numId w:val="1004"/>
        </w:numPr>
      </w:pPr>
      <w:r>
        <w:t xml:space="preserve">Left open the possibility of additional targeted price increases.</w:t>
      </w:r>
    </w:p>
    <w:p>
      <w:pPr>
        <w:pStyle w:val="FirstParagraph"/>
      </w:pPr>
      <w:r>
        <w:t xml:space="preserve">Industrial coatings are seeing inflation first, particularly in Asia and Europe, because of exposure to solvents, resins, and petrochemical derivatives. Architectural coatings should experience the pressure later because more of their purchasing is contractual.</w:t>
      </w:r>
    </w:p>
    <w:p>
      <w:pPr>
        <w:pStyle w:val="BodyText"/>
      </w:pPr>
      <w:r>
        <w:t xml:space="preserve">Q2 will indicate whether Sherwin-Williams is still benefiting from a favorable timing gap—pricing already in place while higher costs have yet to flow through fully—or whether inflation arrived sooner than expected.</w:t>
      </w:r>
    </w:p>
    <w:p>
      <w:pPr>
        <w:pStyle w:val="BodyText"/>
      </w:pPr>
      <w:r>
        <w:rPr>
          <w:b/>
          <w:bCs/>
        </w:rPr>
        <w:t xml:space="preserve">Positive signal:</w:t>
      </w:r>
      <w:r>
        <w:t xml:space="preserve"> </w:t>
      </w:r>
      <w:r>
        <w:t xml:space="preserve">gross-margin expansion despite Suvinil dilution and higher raw-material costs.</w:t>
      </w:r>
    </w:p>
    <w:p>
      <w:pPr>
        <w:pStyle w:val="BodyText"/>
      </w:pPr>
      <w:r>
        <w:rPr>
          <w:b/>
          <w:bCs/>
        </w:rPr>
        <w:t xml:space="preserve">Negative signal:</w:t>
      </w:r>
      <w:r>
        <w:t xml:space="preserve"> </w:t>
      </w:r>
      <w:r>
        <w:t xml:space="preserve">management says current pricing is no longer sufficient to offset its updated cost basket.</w:t>
      </w:r>
    </w:p>
    <w:bookmarkEnd w:id="13"/>
    <w:bookmarkStart w:id="14" w:name="X113c69957ad22d3566b25cf63ace8f8f848b7cd"/>
    <w:p>
      <w:pPr>
        <w:pStyle w:val="Heading3"/>
      </w:pPr>
      <w:r>
        <w:t xml:space="preserve">4. Gross margin versus SG&amp;A</w:t>
      </w:r>
    </w:p>
    <w:p>
      <w:pPr>
        <w:pStyle w:val="FirstParagraph"/>
      </w:pPr>
      <w:r>
        <w:t xml:space="preserve">Q1 gross margin expanded 90 basis points to 49.1%, even with Suvinil dilution. Management expected normal seasonal improvement moving into the spring and summer selling season, but also warned that commodity inflation would become more visible.</w:t>
      </w:r>
    </w:p>
    <w:p>
      <w:pPr>
        <w:pStyle w:val="BodyText"/>
      </w:pPr>
      <w:r>
        <w:t xml:space="preserve">The more difficult issue has been SG&amp;A. Q1 SG&amp;A rose to 34.8% of sales from 33.8%, reflecting:</w:t>
      </w:r>
    </w:p>
    <w:p>
      <w:pPr>
        <w:pStyle w:val="Compact"/>
        <w:numPr>
          <w:ilvl w:val="0"/>
          <w:numId w:val="1005"/>
        </w:numPr>
      </w:pPr>
      <w:r>
        <w:t xml:space="preserve">Suvinil expenses;</w:t>
      </w:r>
    </w:p>
    <w:p>
      <w:pPr>
        <w:pStyle w:val="Compact"/>
        <w:numPr>
          <w:ilvl w:val="0"/>
          <w:numId w:val="1005"/>
        </w:numPr>
      </w:pPr>
      <w:r>
        <w:t xml:space="preserve">sales, marketing, and employee investments;</w:t>
      </w:r>
    </w:p>
    <w:p>
      <w:pPr>
        <w:pStyle w:val="Compact"/>
        <w:numPr>
          <w:ilvl w:val="0"/>
          <w:numId w:val="1005"/>
        </w:numPr>
      </w:pPr>
      <w:r>
        <w:t xml:space="preserve">foreign exchange;</w:t>
      </w:r>
    </w:p>
    <w:p>
      <w:pPr>
        <w:pStyle w:val="Compact"/>
        <w:numPr>
          <w:ilvl w:val="0"/>
          <w:numId w:val="1005"/>
        </w:numPr>
      </w:pPr>
      <w:r>
        <w:t xml:space="preserve">new headquarters and technology-center costs and depreciation.</w:t>
      </w:r>
    </w:p>
    <w:p>
      <w:pPr>
        <w:pStyle w:val="FirstParagraph"/>
      </w:pPr>
      <w:r>
        <w:t xml:space="preserve">Management maintained its expectation for only a low-single-digit full-year SG&amp;A increase. Investors should test whether that remains realistic.</w:t>
      </w:r>
    </w:p>
    <w:p>
      <w:pPr>
        <w:pStyle w:val="BodyText"/>
      </w:pPr>
      <w:r>
        <w:t xml:space="preserve">The prior-year comparison is also noisy. Q2 2025 included $59 million of restructuring expense, approximately $40 million of building-related transition costs, and substantial non-operating headwinds. Adjusted EPS excludes the restructuring charge but not every other unusual pressure. A strong year-over-year EPS result may consequently contain some comparison benefit rather than solely better underlying operations.</w:t>
      </w:r>
    </w:p>
    <w:bookmarkEnd w:id="14"/>
    <w:bookmarkStart w:id="15" w:name="X570ff67377b8d30831720952a085daf2fee0e77"/>
    <w:p>
      <w:pPr>
        <w:pStyle w:val="Heading3"/>
      </w:pPr>
      <w:r>
        <w:t xml:space="preserve">5. Performance Coatings momentum</w:t>
      </w:r>
    </w:p>
    <w:p>
      <w:pPr>
        <w:pStyle w:val="FirstParagraph"/>
      </w:pPr>
      <w:r>
        <w:t xml:space="preserve">Performance Coatings was better than expected in Q1:</w:t>
      </w:r>
    </w:p>
    <w:p>
      <w:pPr>
        <w:pStyle w:val="Compact"/>
        <w:numPr>
          <w:ilvl w:val="0"/>
          <w:numId w:val="1006"/>
        </w:numPr>
      </w:pPr>
      <w:r>
        <w:t xml:space="preserve">Automotive Refinish grew by double digits.</w:t>
      </w:r>
    </w:p>
    <w:p>
      <w:pPr>
        <w:pStyle w:val="Compact"/>
        <w:numPr>
          <w:ilvl w:val="0"/>
          <w:numId w:val="1006"/>
        </w:numPr>
      </w:pPr>
      <w:r>
        <w:t xml:space="preserve">Packaging and General Industrial grew by high single digits.</w:t>
      </w:r>
    </w:p>
    <w:p>
      <w:pPr>
        <w:pStyle w:val="Compact"/>
        <w:numPr>
          <w:ilvl w:val="0"/>
          <w:numId w:val="1006"/>
        </w:numPr>
      </w:pPr>
      <w:r>
        <w:t xml:space="preserve">Coil grew by mid-single digits.</w:t>
      </w:r>
    </w:p>
    <w:p>
      <w:pPr>
        <w:pStyle w:val="Compact"/>
        <w:numPr>
          <w:ilvl w:val="0"/>
          <w:numId w:val="1006"/>
        </w:numPr>
      </w:pPr>
      <w:r>
        <w:t xml:space="preserve">Volume increased by low single digits.</w:t>
      </w:r>
    </w:p>
    <w:p>
      <w:pPr>
        <w:pStyle w:val="Compact"/>
        <w:numPr>
          <w:ilvl w:val="0"/>
          <w:numId w:val="1006"/>
        </w:numPr>
      </w:pPr>
      <w:r>
        <w:t xml:space="preserve">Adjusted margin held at 16.5%.</w:t>
      </w:r>
    </w:p>
    <w:p>
      <w:pPr>
        <w:pStyle w:val="FirstParagraph"/>
      </w:pPr>
      <w:r>
        <w:t xml:space="preserve">Much of the growth appears to reflect new accounts and share gains rather than end-market recovery. Packaging also has a regulatory tailwind from conversion to non-BPA coatings, while Automotive Refinish is benefiting from direct-install wins and Sherwin-Williams’ distribution and technology offering.</w:t>
      </w:r>
    </w:p>
    <w:p>
      <w:pPr>
        <w:pStyle w:val="BodyText"/>
      </w:pPr>
      <w:r>
        <w:t xml:space="preserve">The risk is that PCG has the most immediate raw-material exposure. Strong sales with deteriorating margins would indicate that price is lagging costs. Strong volume and stable or improving margins would be one of the most constructive possible readouts.</w:t>
      </w:r>
    </w:p>
    <w:bookmarkEnd w:id="15"/>
    <w:bookmarkStart w:id="16" w:name="X4f8c5171cdaeccec2de96d5bf2df8483e0be444"/>
    <w:p>
      <w:pPr>
        <w:pStyle w:val="Heading3"/>
      </w:pPr>
      <w:r>
        <w:t xml:space="preserve">6. Suvinil integration and the balance sheet</w:t>
      </w:r>
    </w:p>
    <w:p>
      <w:pPr>
        <w:pStyle w:val="FirstParagraph"/>
      </w:pPr>
      <w:r>
        <w:t xml:space="preserve">Suvinil is improving Sherwin-Williams’ reported growth and increasing its exposure to Latin America, but its margin is below the consolidated average. Investors should look for:</w:t>
      </w:r>
    </w:p>
    <w:p>
      <w:pPr>
        <w:pStyle w:val="Compact"/>
        <w:numPr>
          <w:ilvl w:val="0"/>
          <w:numId w:val="1007"/>
        </w:numPr>
      </w:pPr>
      <w:r>
        <w:t xml:space="preserve">Integration progress and synergies;</w:t>
      </w:r>
    </w:p>
    <w:p>
      <w:pPr>
        <w:pStyle w:val="Compact"/>
        <w:numPr>
          <w:ilvl w:val="0"/>
          <w:numId w:val="1007"/>
        </w:numPr>
      </w:pPr>
      <w:r>
        <w:t xml:space="preserve">Organic performance within Suvinil;</w:t>
      </w:r>
    </w:p>
    <w:p>
      <w:pPr>
        <w:pStyle w:val="Compact"/>
        <w:numPr>
          <w:ilvl w:val="0"/>
          <w:numId w:val="1007"/>
        </w:numPr>
      </w:pPr>
      <w:r>
        <w:t xml:space="preserve">CBG margin improvement despite acquisition dilution;</w:t>
      </w:r>
    </w:p>
    <w:p>
      <w:pPr>
        <w:pStyle w:val="Compact"/>
        <w:numPr>
          <w:ilvl w:val="0"/>
          <w:numId w:val="1007"/>
        </w:numPr>
      </w:pPr>
      <w:r>
        <w:t xml:space="preserve">Any change to the expected long-term economics.</w:t>
      </w:r>
    </w:p>
    <w:p>
      <w:pPr>
        <w:pStyle w:val="FirstParagraph"/>
      </w:pPr>
      <w:r>
        <w:t xml:space="preserve">Debt stood at approximately</w:t>
      </w:r>
      <w:r>
        <w:t xml:space="preserve"> </w:t>
      </w:r>
      <w:r>
        <w:rPr>
          <w:b/>
          <w:bCs/>
        </w:rPr>
        <w:t xml:space="preserve">$11.7 billion</w:t>
      </w:r>
      <w:r>
        <w:t xml:space="preserve"> </w:t>
      </w:r>
      <w:r>
        <w:t xml:space="preserve">at the end of Q1, while net debt to adjusted EBITDA was 2.5 times. Interest expense increased sharply, partly because of acquisition financing and building-related debt. Sherwin-Williams nevertheless returned $773 million through dividends and buybacks in Q1.</w:t>
      </w:r>
    </w:p>
    <w:p>
      <w:pPr>
        <w:pStyle w:val="BodyText"/>
      </w:pPr>
      <w:r>
        <w:t xml:space="preserve">Q2 is seasonally cash-generative, so cash flow, debt reduction, and the balance between deleveraging and continued repurchases deserve attention.</w:t>
      </w:r>
    </w:p>
    <w:bookmarkEnd w:id="16"/>
    <w:bookmarkEnd w:id="17"/>
    <w:bookmarkStart w:id="21" w:name="Xa993e0e04a075fde0adb973cf220a881be219c7"/>
    <w:p>
      <w:pPr>
        <w:pStyle w:val="Heading2"/>
      </w:pPr>
      <w:r>
        <w:t xml:space="preserve">The outlook is more important than the quarter</w:t>
      </w:r>
    </w:p>
    <w:p>
      <w:pPr>
        <w:pStyle w:val="FirstParagraph"/>
      </w:pPr>
      <w:r>
        <w:t xml:space="preserve">Management previously reaffirmed:</w:t>
      </w:r>
    </w:p>
    <w:p>
      <w:pPr>
        <w:pStyle w:val="Compact"/>
        <w:numPr>
          <w:ilvl w:val="0"/>
          <w:numId w:val="1008"/>
        </w:numPr>
      </w:pPr>
      <w:r>
        <w:t xml:space="preserve">FY2026 sales growth of low-to-mid-single digits;</w:t>
      </w:r>
    </w:p>
    <w:p>
      <w:pPr>
        <w:pStyle w:val="Compact"/>
        <w:numPr>
          <w:ilvl w:val="0"/>
          <w:numId w:val="1008"/>
        </w:numPr>
      </w:pPr>
      <w:r>
        <w:t xml:space="preserve">Adjusted EPS of</w:t>
      </w:r>
      <w:r>
        <w:t xml:space="preserve"> </w:t>
      </w:r>
      <m:oMath>
        <m:r>
          <m:t>11.50</m:t>
        </m:r>
        <m:r>
          <m:rPr>
            <m:sty m:val="p"/>
          </m:rPr>
          <m:t>–</m:t>
        </m:r>
      </m:oMath>
      <w:r>
        <w:t xml:space="preserve">11.90;</w:t>
      </w:r>
    </w:p>
    <w:p>
      <w:pPr>
        <w:pStyle w:val="Compact"/>
        <w:numPr>
          <w:ilvl w:val="0"/>
          <w:numId w:val="1008"/>
        </w:numPr>
      </w:pPr>
      <w:r>
        <w:t xml:space="preserve">Low-to-mid-single-digit raw-material inflation;</w:t>
      </w:r>
    </w:p>
    <w:p>
      <w:pPr>
        <w:pStyle w:val="Compact"/>
        <w:numPr>
          <w:ilvl w:val="0"/>
          <w:numId w:val="1008"/>
        </w:numPr>
      </w:pPr>
      <w:r>
        <w:t xml:space="preserve">Price/mix at the high end of low single digits;</w:t>
      </w:r>
    </w:p>
    <w:p>
      <w:pPr>
        <w:pStyle w:val="Compact"/>
        <w:numPr>
          <w:ilvl w:val="0"/>
          <w:numId w:val="1008"/>
        </w:numPr>
      </w:pPr>
      <w:r>
        <w:t xml:space="preserve">Little or no meaningful recovery in most end markets.</w:t>
      </w:r>
    </w:p>
    <w:p>
      <w:pPr>
        <w:pStyle w:val="FirstParagraph"/>
      </w:pPr>
      <w:r>
        <w:t xml:space="preserve">A simple reiteration may be enough if Q2 margins and volumes are solid. However, the market will examine the language behind the reiteration.</w:t>
      </w:r>
    </w:p>
    <w:bookmarkStart w:id="18" w:name="constructive-guidance"/>
    <w:p>
      <w:pPr>
        <w:pStyle w:val="Heading3"/>
      </w:pPr>
      <w:r>
        <w:t xml:space="preserve">Constructive guidance</w:t>
      </w:r>
    </w:p>
    <w:p>
      <w:pPr>
        <w:pStyle w:val="Compact"/>
        <w:numPr>
          <w:ilvl w:val="0"/>
          <w:numId w:val="1009"/>
        </w:numPr>
      </w:pPr>
      <w:r>
        <w:t xml:space="preserve">Current pricing is sufficient to offset expected inflation.</w:t>
      </w:r>
    </w:p>
    <w:p>
      <w:pPr>
        <w:pStyle w:val="Compact"/>
        <w:numPr>
          <w:ilvl w:val="0"/>
          <w:numId w:val="1009"/>
        </w:numPr>
      </w:pPr>
      <w:r>
        <w:t xml:space="preserve">Paint Stores continues to gain volume share.</w:t>
      </w:r>
    </w:p>
    <w:p>
      <w:pPr>
        <w:pStyle w:val="Compact"/>
        <w:numPr>
          <w:ilvl w:val="0"/>
          <w:numId w:val="1009"/>
        </w:numPr>
      </w:pPr>
      <w:r>
        <w:t xml:space="preserve">Gross margin can expand despite higher second-half costs.</w:t>
      </w:r>
    </w:p>
    <w:p>
      <w:pPr>
        <w:pStyle w:val="Compact"/>
        <w:numPr>
          <w:ilvl w:val="0"/>
          <w:numId w:val="1009"/>
        </w:numPr>
      </w:pPr>
      <w:r>
        <w:t xml:space="preserve">Suvinil integration is on plan.</w:t>
      </w:r>
    </w:p>
    <w:p>
      <w:pPr>
        <w:pStyle w:val="Compact"/>
        <w:numPr>
          <w:ilvl w:val="0"/>
          <w:numId w:val="1009"/>
        </w:numPr>
      </w:pPr>
      <w:r>
        <w:t xml:space="preserve">Management expresses confidence in the midpoint or upper half of the EPS range.</w:t>
      </w:r>
    </w:p>
    <w:bookmarkEnd w:id="18"/>
    <w:bookmarkStart w:id="19" w:name="cautious-guidance"/>
    <w:p>
      <w:pPr>
        <w:pStyle w:val="Heading3"/>
      </w:pPr>
      <w:r>
        <w:t xml:space="preserve">Cautious guidance</w:t>
      </w:r>
    </w:p>
    <w:p>
      <w:pPr>
        <w:pStyle w:val="Compact"/>
        <w:numPr>
          <w:ilvl w:val="0"/>
          <w:numId w:val="1010"/>
        </w:numPr>
      </w:pPr>
      <w:r>
        <w:t xml:space="preserve">Guidance is maintained but second-half volume assumptions are reduced.</w:t>
      </w:r>
    </w:p>
    <w:p>
      <w:pPr>
        <w:pStyle w:val="Compact"/>
        <w:numPr>
          <w:ilvl w:val="0"/>
          <w:numId w:val="1010"/>
        </w:numPr>
      </w:pPr>
      <w:r>
        <w:t xml:space="preserve">More pricing is needed to offset costs.</w:t>
      </w:r>
    </w:p>
    <w:p>
      <w:pPr>
        <w:pStyle w:val="Compact"/>
        <w:numPr>
          <w:ilvl w:val="0"/>
          <w:numId w:val="1010"/>
        </w:numPr>
      </w:pPr>
      <w:r>
        <w:t xml:space="preserve">Management emphasizes uncertainty rather than operating momentum.</w:t>
      </w:r>
    </w:p>
    <w:p>
      <w:pPr>
        <w:pStyle w:val="Compact"/>
        <w:numPr>
          <w:ilvl w:val="0"/>
          <w:numId w:val="1010"/>
        </w:numPr>
      </w:pPr>
      <w:r>
        <w:t xml:space="preserve">Results become increasingly dependent on cost cuts or buybacks.</w:t>
      </w:r>
    </w:p>
    <w:bookmarkEnd w:id="19"/>
    <w:bookmarkStart w:id="20" w:name="negative-guidance"/>
    <w:p>
      <w:pPr>
        <w:pStyle w:val="Heading3"/>
      </w:pPr>
      <w:r>
        <w:t xml:space="preserve">Negative guidance</w:t>
      </w:r>
    </w:p>
    <w:p>
      <w:pPr>
        <w:pStyle w:val="Compact"/>
        <w:numPr>
          <w:ilvl w:val="0"/>
          <w:numId w:val="1011"/>
        </w:numPr>
      </w:pPr>
      <w:r>
        <w:t xml:space="preserve">Raw-material inflation is above the existing low-to-mid-single-digit assumption.</w:t>
      </w:r>
    </w:p>
    <w:p>
      <w:pPr>
        <w:pStyle w:val="Compact"/>
        <w:numPr>
          <w:ilvl w:val="0"/>
          <w:numId w:val="1011"/>
        </w:numPr>
      </w:pPr>
      <w:r>
        <w:t xml:space="preserve">Price increases produce meaningful demand destruction.</w:t>
      </w:r>
    </w:p>
    <w:p>
      <w:pPr>
        <w:pStyle w:val="Compact"/>
        <w:numPr>
          <w:ilvl w:val="0"/>
          <w:numId w:val="1011"/>
        </w:numPr>
      </w:pPr>
      <w:r>
        <w:t xml:space="preserve">Full-year adjusted EPS moves toward or below the low end.</w:t>
      </w:r>
    </w:p>
    <w:p>
      <w:pPr>
        <w:pStyle w:val="Compact"/>
        <w:numPr>
          <w:ilvl w:val="0"/>
          <w:numId w:val="1011"/>
        </w:numPr>
      </w:pPr>
      <w:r>
        <w:t xml:space="preserve">PSG same-store sales or PCG organic volume turn negative.</w:t>
      </w:r>
    </w:p>
    <w:bookmarkEnd w:id="20"/>
    <w:bookmarkEnd w:id="21"/>
    <w:bookmarkStart w:id="25" w:name="scenario-framework"/>
    <w:p>
      <w:pPr>
        <w:pStyle w:val="Heading2"/>
      </w:pPr>
      <w:r>
        <w:t xml:space="preserve">Scenario framework</w:t>
      </w:r>
    </w:p>
    <w:bookmarkStart w:id="22" w:name="bull-case"/>
    <w:p>
      <w:pPr>
        <w:pStyle w:val="Heading3"/>
      </w:pPr>
      <w:r>
        <w:t xml:space="preserve">Bull case</w:t>
      </w:r>
    </w:p>
    <w:p>
      <w:pPr>
        <w:pStyle w:val="Compact"/>
        <w:numPr>
          <w:ilvl w:val="0"/>
          <w:numId w:val="1012"/>
        </w:numPr>
      </w:pPr>
      <w:r>
        <w:t xml:space="preserve">Sales land above the mid-single-digit guide.</w:t>
      </w:r>
    </w:p>
    <w:p>
      <w:pPr>
        <w:pStyle w:val="Compact"/>
        <w:numPr>
          <w:ilvl w:val="0"/>
          <w:numId w:val="1012"/>
        </w:numPr>
      </w:pPr>
      <w:r>
        <w:t xml:space="preserve">Paint Stores produces positive volume and price.</w:t>
      </w:r>
    </w:p>
    <w:p>
      <w:pPr>
        <w:pStyle w:val="Compact"/>
        <w:numPr>
          <w:ilvl w:val="0"/>
          <w:numId w:val="1012"/>
        </w:numPr>
      </w:pPr>
      <w:r>
        <w:t xml:space="preserve">Gross margin expands year over year.</w:t>
      </w:r>
    </w:p>
    <w:p>
      <w:pPr>
        <w:pStyle w:val="Compact"/>
        <w:numPr>
          <w:ilvl w:val="0"/>
          <w:numId w:val="1012"/>
        </w:numPr>
      </w:pPr>
      <w:r>
        <w:t xml:space="preserve">PCG share gains remain broad-based.</w:t>
      </w:r>
    </w:p>
    <w:p>
      <w:pPr>
        <w:pStyle w:val="Compact"/>
        <w:numPr>
          <w:ilvl w:val="0"/>
          <w:numId w:val="1012"/>
        </w:numPr>
      </w:pPr>
      <w:r>
        <w:t xml:space="preserve">Management raises or narrows guidance toward the upper end.</w:t>
      </w:r>
    </w:p>
    <w:p>
      <w:pPr>
        <w:pStyle w:val="FirstParagraph"/>
      </w:pPr>
      <w:r>
        <w:t xml:space="preserve">This would reinforce the thesis that Sherwin-Williams can compound earnings through share gains and pricing even without a housing recovery.</w:t>
      </w:r>
    </w:p>
    <w:bookmarkEnd w:id="22"/>
    <w:bookmarkStart w:id="23" w:name="base-case"/>
    <w:p>
      <w:pPr>
        <w:pStyle w:val="Heading3"/>
      </w:pPr>
      <w:r>
        <w:t xml:space="preserve">Base case</w:t>
      </w:r>
    </w:p>
    <w:p>
      <w:pPr>
        <w:pStyle w:val="Compact"/>
        <w:numPr>
          <w:ilvl w:val="0"/>
          <w:numId w:val="1013"/>
        </w:numPr>
      </w:pPr>
      <w:r>
        <w:t xml:space="preserve">Sales are around $6.6 billion.</w:t>
      </w:r>
    </w:p>
    <w:p>
      <w:pPr>
        <w:pStyle w:val="Compact"/>
        <w:numPr>
          <w:ilvl w:val="0"/>
          <w:numId w:val="1013"/>
        </w:numPr>
      </w:pPr>
      <w:r>
        <w:t xml:space="preserve">PSG same-store sales remain positive but price contributes more than volume.</w:t>
      </w:r>
    </w:p>
    <w:p>
      <w:pPr>
        <w:pStyle w:val="Compact"/>
        <w:numPr>
          <w:ilvl w:val="0"/>
          <w:numId w:val="1013"/>
        </w:numPr>
      </w:pPr>
      <w:r>
        <w:t xml:space="preserve">Gross margin is flat to modestly higher.</w:t>
      </w:r>
    </w:p>
    <w:p>
      <w:pPr>
        <w:pStyle w:val="Compact"/>
        <w:numPr>
          <w:ilvl w:val="0"/>
          <w:numId w:val="1013"/>
        </w:numPr>
      </w:pPr>
      <w:r>
        <w:t xml:space="preserve">North American DIY remains weak.</w:t>
      </w:r>
    </w:p>
    <w:p>
      <w:pPr>
        <w:pStyle w:val="Compact"/>
        <w:numPr>
          <w:ilvl w:val="0"/>
          <w:numId w:val="1013"/>
        </w:numPr>
      </w:pPr>
      <w:r>
        <w:t xml:space="preserve">Full-year guidance is maintained, accompanied by caution regarding second-half costs.</w:t>
      </w:r>
    </w:p>
    <w:p>
      <w:pPr>
        <w:pStyle w:val="FirstParagraph"/>
      </w:pPr>
      <w:r>
        <w:t xml:space="preserve">This would be an acceptable result, although the stock reaction would likely depend on the confidence of management’s price/cost commentary.</w:t>
      </w:r>
    </w:p>
    <w:bookmarkEnd w:id="23"/>
    <w:bookmarkStart w:id="24" w:name="bear-case"/>
    <w:p>
      <w:pPr>
        <w:pStyle w:val="Heading3"/>
      </w:pPr>
      <w:r>
        <w:t xml:space="preserve">Bear case</w:t>
      </w:r>
    </w:p>
    <w:p>
      <w:pPr>
        <w:pStyle w:val="Compact"/>
        <w:numPr>
          <w:ilvl w:val="0"/>
          <w:numId w:val="1014"/>
        </w:numPr>
      </w:pPr>
      <w:r>
        <w:t xml:space="preserve">Reported sales meet guidance mainly because of Suvinil, currency, and price.</w:t>
      </w:r>
    </w:p>
    <w:p>
      <w:pPr>
        <w:pStyle w:val="Compact"/>
        <w:numPr>
          <w:ilvl w:val="0"/>
          <w:numId w:val="1014"/>
        </w:numPr>
      </w:pPr>
      <w:r>
        <w:t xml:space="preserve">Legacy volume deteriorates.</w:t>
      </w:r>
    </w:p>
    <w:p>
      <w:pPr>
        <w:pStyle w:val="Compact"/>
        <w:numPr>
          <w:ilvl w:val="0"/>
          <w:numId w:val="1014"/>
        </w:numPr>
      </w:pPr>
      <w:r>
        <w:t xml:space="preserve">Raw-material inflation arrives faster than expected.</w:t>
      </w:r>
    </w:p>
    <w:p>
      <w:pPr>
        <w:pStyle w:val="Compact"/>
        <w:numPr>
          <w:ilvl w:val="0"/>
          <w:numId w:val="1014"/>
        </w:numPr>
      </w:pPr>
      <w:r>
        <w:t xml:space="preserve">Gross margin contracts and SG&amp;A remains elevated.</w:t>
      </w:r>
    </w:p>
    <w:p>
      <w:pPr>
        <w:pStyle w:val="Compact"/>
        <w:numPr>
          <w:ilvl w:val="0"/>
          <w:numId w:val="1014"/>
        </w:numPr>
      </w:pPr>
      <w:r>
        <w:t xml:space="preserve">The company lowers guidance or effectively points investors to the bottom of the range.</w:t>
      </w:r>
    </w:p>
    <w:p>
      <w:pPr>
        <w:pStyle w:val="FirstParagraph"/>
      </w:pPr>
      <w:r>
        <w:t xml:space="preserve">That outcome would raise concerns that the earnings algorithm is becoming too reliant on price increases and cost reductions while demand remains weak.</w:t>
      </w:r>
    </w:p>
    <w:bookmarkEnd w:id="24"/>
    <w:bookmarkEnd w:id="25"/>
    <w:bookmarkStart w:id="26" w:name="questions-investors-should-want-answered"/>
    <w:p>
      <w:pPr>
        <w:pStyle w:val="Heading2"/>
      </w:pPr>
      <w:r>
        <w:t xml:space="preserve">Questions investors should want answered</w:t>
      </w:r>
    </w:p>
    <w:p>
      <w:pPr>
        <w:pStyle w:val="Compact"/>
        <w:numPr>
          <w:ilvl w:val="0"/>
          <w:numId w:val="1015"/>
        </w:numPr>
      </w:pPr>
      <w:r>
        <w:t xml:space="preserve">What were Q2 consolidated organic volume, price/mix, currency, and acquisition contributions?</w:t>
      </w:r>
    </w:p>
    <w:p>
      <w:pPr>
        <w:pStyle w:val="Compact"/>
        <w:numPr>
          <w:ilvl w:val="0"/>
          <w:numId w:val="1015"/>
        </w:numPr>
      </w:pPr>
      <w:r>
        <w:t xml:space="preserve">Is current pricing sufficient to offset the updated raw-material outlook?</w:t>
      </w:r>
    </w:p>
    <w:p>
      <w:pPr>
        <w:pStyle w:val="Compact"/>
        <w:numPr>
          <w:ilvl w:val="0"/>
          <w:numId w:val="1015"/>
        </w:numPr>
      </w:pPr>
      <w:r>
        <w:t xml:space="preserve">How much additional inflation is expected in Q3 and Q4?</w:t>
      </w:r>
    </w:p>
    <w:p>
      <w:pPr>
        <w:pStyle w:val="Compact"/>
        <w:numPr>
          <w:ilvl w:val="0"/>
          <w:numId w:val="1015"/>
        </w:numPr>
      </w:pPr>
      <w:r>
        <w:t xml:space="preserve">Are Paint Stores volume gains still exceeding the underlying market?</w:t>
      </w:r>
    </w:p>
    <w:p>
      <w:pPr>
        <w:pStyle w:val="Compact"/>
        <w:numPr>
          <w:ilvl w:val="0"/>
          <w:numId w:val="1015"/>
        </w:numPr>
      </w:pPr>
      <w:r>
        <w:t xml:space="preserve">Has pricing affected contractor retention, bid activity, or project timing?</w:t>
      </w:r>
    </w:p>
    <w:p>
      <w:pPr>
        <w:pStyle w:val="Compact"/>
        <w:numPr>
          <w:ilvl w:val="0"/>
          <w:numId w:val="1015"/>
        </w:numPr>
      </w:pPr>
      <w:r>
        <w:t xml:space="preserve">Can PSG margin expand while sales and marketing investments remain elevated?</w:t>
      </w:r>
    </w:p>
    <w:p>
      <w:pPr>
        <w:pStyle w:val="Compact"/>
        <w:numPr>
          <w:ilvl w:val="0"/>
          <w:numId w:val="1015"/>
        </w:numPr>
      </w:pPr>
      <w:r>
        <w:t xml:space="preserve">How much of PCG growth is market share versus underlying demand?</w:t>
      </w:r>
    </w:p>
    <w:p>
      <w:pPr>
        <w:pStyle w:val="Compact"/>
        <w:numPr>
          <w:ilvl w:val="0"/>
          <w:numId w:val="1015"/>
        </w:numPr>
      </w:pPr>
      <w:r>
        <w:t xml:space="preserve">Is Consumer Brands’ margin improvement sustainable once Suvinil is included?</w:t>
      </w:r>
    </w:p>
    <w:p>
      <w:pPr>
        <w:pStyle w:val="Compact"/>
        <w:numPr>
          <w:ilvl w:val="0"/>
          <w:numId w:val="1015"/>
        </w:numPr>
      </w:pPr>
      <w:r>
        <w:t xml:space="preserve">Is full-year SG&amp;A still expected to rise only by a low-single-digit percentage?</w:t>
      </w:r>
    </w:p>
    <w:p>
      <w:pPr>
        <w:pStyle w:val="Compact"/>
        <w:numPr>
          <w:ilvl w:val="0"/>
          <w:numId w:val="1015"/>
        </w:numPr>
      </w:pPr>
      <w:r>
        <w:t xml:space="preserve">Does management now expect to finish above, near, or below the midpoint of its EPS range?</w:t>
      </w:r>
    </w:p>
    <w:p>
      <w:pPr>
        <w:pStyle w:val="Compact"/>
        <w:numPr>
          <w:ilvl w:val="0"/>
          <w:numId w:val="1015"/>
        </w:numPr>
      </w:pPr>
      <w:r>
        <w:t xml:space="preserve">How will the company prioritize debt reduction versus share repurchases?</w:t>
      </w:r>
    </w:p>
    <w:p>
      <w:pPr>
        <w:pStyle w:val="Compact"/>
        <w:numPr>
          <w:ilvl w:val="0"/>
          <w:numId w:val="1015"/>
        </w:numPr>
      </w:pPr>
      <w:r>
        <w:t xml:space="preserve">What assumptions for housing, DIY, commercial construction, and industrial production underpin the second-half outlook?</w:t>
      </w:r>
    </w:p>
    <w:bookmarkEnd w:id="26"/>
    <w:bookmarkStart w:id="27" w:name="bottom-line"/>
    <w:p>
      <w:pPr>
        <w:pStyle w:val="Heading2"/>
      </w:pPr>
      <w:r>
        <w:t xml:space="preserve">Bottom line</w:t>
      </w:r>
    </w:p>
    <w:p>
      <w:pPr>
        <w:pStyle w:val="FirstParagraph"/>
      </w:pPr>
      <w:r>
        <w:t xml:space="preserve">The likely headline is</w:t>
      </w:r>
      <w:r>
        <w:t xml:space="preserve"> </w:t>
      </w:r>
      <w:r>
        <w:rPr>
          <w:b/>
          <w:bCs/>
        </w:rPr>
        <w:t xml:space="preserve">mid-single-digit sales growth against weak markets</w:t>
      </w:r>
      <w:r>
        <w:t xml:space="preserve">, but that alone will not determine the investment read-through. The three decisive variables are:</w:t>
      </w:r>
    </w:p>
    <w:p>
      <w:pPr>
        <w:pStyle w:val="Compact"/>
        <w:numPr>
          <w:ilvl w:val="0"/>
          <w:numId w:val="1016"/>
        </w:numPr>
      </w:pPr>
      <w:r>
        <w:rPr>
          <w:b/>
          <w:bCs/>
        </w:rPr>
        <w:t xml:space="preserve">Organic volume and market-share gains in Paint Stores;</w:t>
      </w:r>
    </w:p>
    <w:p>
      <w:pPr>
        <w:pStyle w:val="Compact"/>
        <w:numPr>
          <w:ilvl w:val="0"/>
          <w:numId w:val="1016"/>
        </w:numPr>
      </w:pPr>
      <w:r>
        <w:rPr>
          <w:b/>
          <w:bCs/>
        </w:rPr>
        <w:t xml:space="preserve">Gross-margin resilience as raw-material inflation accelerates;</w:t>
      </w:r>
    </w:p>
    <w:p>
      <w:pPr>
        <w:pStyle w:val="Compact"/>
        <w:numPr>
          <w:ilvl w:val="0"/>
          <w:numId w:val="1016"/>
        </w:numPr>
      </w:pPr>
      <w:r>
        <w:rPr>
          <w:b/>
          <w:bCs/>
        </w:rPr>
        <w:t xml:space="preserve">Management’s confidence in the</w:t>
      </w:r>
      <w:r>
        <w:rPr>
          <w:b/>
          <w:bCs/>
        </w:rPr>
        <w:t xml:space="preserve"> </w:t>
      </w:r>
      <m:oMath>
        <m:r>
          <m:t>11.50</m:t>
        </m:r>
        <m:r>
          <m:rPr>
            <m:sty m:val="p"/>
          </m:rPr>
          <m:t>–</m:t>
        </m:r>
      </m:oMath>
      <w:r>
        <w:rPr>
          <w:b/>
          <w:bCs/>
        </w:rPr>
        <w:t xml:space="preserve">11.90 full-year adjusted EPS range.</w:t>
      </w:r>
    </w:p>
    <w:p>
      <w:pPr>
        <w:pStyle w:val="FirstParagraph"/>
      </w:pPr>
      <w:r>
        <w:t xml:space="preserve">A clean quarter would show positive PSG volume, continued PCG momentum, and enough pricing to protect margins without damaging demand. Conversely, acquisition-led growth combined with weaker legacy volume and rising costs would make the unchanged full-year guidance considerably less credible.</w:t>
      </w:r>
    </w:p>
    <w:p>
      <w:pPr>
        <w:pStyle w:val="BodyText"/>
      </w:pPr>
      <w:r>
        <w:rPr>
          <w:i/>
          <w:iCs/>
        </w:rPr>
        <w:t xml:space="preserve">Sources: Sherwin-Williams Q1 2026 earnings release, earnings-call transcript and Form 10-Q; Q2 2025 earnings release; July 1, 2026 earnings-date announcement; and stock-price data through July 27, 2026.</w:t>
      </w:r>
    </w:p>
    <w:bookmarkEnd w:id="27"/>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2026-07-28T00:45:02Z</dcterms:created>
  <dcterms:modified xsi:type="dcterms:W3CDTF">2026-07-28T00:45:02Z</dcterms:modified>
</cp:coreProperties>
</file>

<file path=docProps/custom.xml><?xml version="1.0" encoding="utf-8"?>
<Properties xmlns="http://schemas.openxmlformats.org/officeDocument/2006/custom-properties" xmlns:vt="http://schemas.openxmlformats.org/officeDocument/2006/docPropsVTypes"/>
</file>