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o-earnings-predictions--2026-07-30"/>
    <w:p>
      <w:pPr>
        <w:pStyle w:val="Heading1"/>
      </w:pPr>
      <w:r>
        <w:t xml:space="preserve">SO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1.04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1.01 (co. guide $1.00)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7.2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7.1B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Contracted large-load / data-center pipeline (GW)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~13-15 GW contracted vs. cons/prior ~11 GW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 (reaffirm)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4.49</m:t>
              </m:r>
              <m:r>
                <m:rPr>
                  <m:sty m:val="p"/>
                </m:rPr>
                <m:t>−</m:t>
              </m:r>
            </m:oMath>
            <w:r>
              <w:t xml:space="preserve">4.61 (mid</w:t>
            </w:r>
            <w:r>
              <w:t xml:space="preserve"> </w:t>
            </w:r>
            <m:oMath>
              <m:r>
                <m:t>4.55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4.55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Adjusted EPS guide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1.55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1.53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Large-load funnel / risk-adjusted load forecast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~25+ GW contracted-or-late-stage vs. prior ~23 GW (thru mid-2030s)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CapEx / rate-base plan &amp; Georgia RFP (2-6 GW)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63</m:t>
              </m:r>
              <m:r>
                <m:t>B</m:t>
              </m:r>
              <m:r>
                <m:t>p</m:t>
              </m:r>
              <m:r>
                <m:t>l</m:t>
              </m:r>
              <m:r>
                <m:t>a</m:t>
              </m:r>
              <m:r>
                <m:t>n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63B (2026-2030); RFP not resolved this qtr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Equity financing need thru 2030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1.8</m:t>
              </m:r>
              <m:r>
                <m:t>B</m:t>
              </m:r>
              <m:r>
                <m:t>e</m:t>
              </m:r>
              <m:r>
                <m:t>q</m:t>
              </m:r>
              <m:r>
                <m:t>u</m:t>
              </m:r>
              <m:r>
                <m:t>i</m:t>
              </m:r>
              <m:r>
                <m:t>t</m:t>
              </m:r>
              <m:r>
                <m:t>y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 </m:t>
              </m:r>
            </m:oMath>
            <w:r>
              <w:t xml:space="preserve">1.8B (thru 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(STABILIZE)</w:t>
            </w:r>
          </w:p>
        </w:tc>
        <w:tc>
          <w:tcPr/>
          <w:p>
            <w:pPr>
              <w:pStyle w:val="Compact"/>
            </w:pPr>
            <w:r>
              <w:t xml:space="preserve">Low-beta (~0.45) dividend-growth utility; a warm-summer-driven adjusted EPS beat plus a raised large-load number supports a modest positive day-1 residual, but FY guide is only reaffirmed (not raised), so out-period math produces little upward estimate revision. Reaction is anchored by the large-load funnel/RFP color rather than headline EPS; with the stock already near the top of its ~</w:t>
            </w:r>
            <m:oMath>
              <m:r>
                <m:t>89</m:t>
              </m:r>
              <m:r>
                <m:rPr>
                  <m:sty m:val="p"/>
                </m:rPr>
                <m:t>−</m:t>
              </m:r>
            </m:oMath>
            <w:r>
              <w:t xml:space="preserve">98 range, follow-through is limited and the residual drifts to stabilize unless management explicitly lifts the long-term growth rate.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2026-07-29T19:07:08Z</dcterms:created>
  <dcterms:modified xsi:type="dcterms:W3CDTF">2026-07-29T19:07:08Z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