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-earnings-predictions--2026-07-30"/>
    <w:p>
      <w:pPr>
        <w:pStyle w:val="Heading1"/>
      </w:pPr>
      <w:r>
        <w:t xml:space="preserve">SO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~$1.03 vs. cons $1.01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~$7.31B vs. cons $7.25B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Contracted large-load capacity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~14.2 GW vs. cons 14.2 GW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~$4.55 vs. cons $4.58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estimate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~$1.57 vs. cons $1.59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EPS beat and confirmation of ~14.2 GW contracted load should support the initial reaction, but unchanged FY2026 guidance at ~$4.55 versus</w:t>
            </w:r>
            <w:r>
              <w:t xml:space="preserve"> </w:t>
            </w:r>
            <m:oMath>
              <m:r>
                <m:t>4.58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 </m:t>
              </m:r>
            </m:oMath>
            <w:r>
              <w:t xml:space="preserve">1.57 Q3 estimate versus $1.59 consensus leave limited near-term estimate-revision upside; much of the OpenAI catalyst is already reflected in the stock.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2026-07-29T19:11:34Z</dcterms:created>
  <dcterms:modified xsi:type="dcterms:W3CDTF">2026-07-29T19:11:34Z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