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bed54d9073b445319c191d3b5d4159156ce56d"/>
    <w:p>
      <w:pPr>
        <w:pStyle w:val="Heading1"/>
      </w:pPr>
      <w:r>
        <w:t xml:space="preserve">Southern Company Q2 2026 Earnings Preview</w:t>
      </w:r>
    </w:p>
    <w:p>
      <w:pPr>
        <w:pStyle w:val="FirstParagraph"/>
      </w:pPr>
      <w:r>
        <w:rPr>
          <w:b/>
          <w:bCs/>
        </w:rPr>
        <w:t xml:space="preserve">Ticker:</w:t>
      </w:r>
      <w:r>
        <w:t xml:space="preserve"> </w:t>
      </w:r>
      <w:r>
        <w:t xml:space="preserve">NYSE: SO</w:t>
      </w:r>
      <w:r>
        <w:br/>
      </w:r>
      <w:r>
        <w:rPr>
          <w:b/>
          <w:bCs/>
        </w:rPr>
        <w:t xml:space="preserve">Report date:</w:t>
      </w:r>
      <w:r>
        <w:t xml:space="preserve"> </w:t>
      </w:r>
      <w:r>
        <w:t xml:space="preserve">July 30, 2026, before market open</w:t>
      </w:r>
      <w:r>
        <w:br/>
      </w:r>
      <w:r>
        <w:rPr>
          <w:b/>
          <w:bCs/>
        </w:rPr>
        <w:t xml:space="preserve">Conference call:</w:t>
      </w:r>
      <w:r>
        <w:t xml:space="preserve"> </w:t>
      </w:r>
      <w:r>
        <w:t xml:space="preserve">1:00 p.m. ET</w:t>
      </w:r>
    </w:p>
    <w:bookmarkStart w:id="11" w:name="investment-view-going-into-the-report"/>
    <w:p>
      <w:pPr>
        <w:pStyle w:val="Heading2"/>
      </w:pPr>
      <w:r>
        <w:t xml:space="preserve">Investment view going into the report</w:t>
      </w:r>
    </w:p>
    <w:p>
      <w:pPr>
        <w:pStyle w:val="FirstParagraph"/>
      </w:pPr>
      <w:r>
        <w:t xml:space="preserve">Southern Company’s second-quarter headline earnings should be relatively straightforward. Management’s adjusted EPS estimate is</w:t>
      </w:r>
      <w:r>
        <w:t xml:space="preserve"> </w:t>
      </w:r>
      <m:oMath>
        <m:r>
          <m:t>1.00</m:t>
        </m:r>
        <m:r>
          <m:rPr>
            <m:sty m:val="p"/>
          </m:rPr>
          <m:t>*</m:t>
        </m:r>
        <m:r>
          <m:rPr>
            <m:sty m:val="p"/>
          </m:rPr>
          <m:t>*</m:t>
        </m:r>
        <m:r>
          <m:rPr>
            <m:sty m:val="p"/>
          </m:rPr>
          <m:t>,</m:t>
        </m:r>
        <m:r>
          <m:t>e</m:t>
        </m:r>
        <m:r>
          <m:t>s</m:t>
        </m:r>
        <m:r>
          <m:t>s</m:t>
        </m:r>
        <m:r>
          <m:t>e</m:t>
        </m:r>
        <m:r>
          <m:t>n</m:t>
        </m:r>
        <m:r>
          <m:t>t</m:t>
        </m:r>
        <m:r>
          <m:t>i</m:t>
        </m:r>
        <m:r>
          <m:t>a</m:t>
        </m:r>
        <m:r>
          <m:t>l</m:t>
        </m:r>
        <m:r>
          <m:t>l</m:t>
        </m:r>
        <m:r>
          <m:t>y</m:t>
        </m:r>
        <m:r>
          <m:t>m</m:t>
        </m:r>
        <m:r>
          <m:t>a</m:t>
        </m:r>
        <m:r>
          <m:t>t</m:t>
        </m:r>
        <m:r>
          <m:t>c</m:t>
        </m:r>
        <m:r>
          <m:t>h</m:t>
        </m:r>
        <m:r>
          <m:t>i</m:t>
        </m:r>
        <m:r>
          <m:t>n</m:t>
        </m:r>
        <m:r>
          <m:t>g</m:t>
        </m:r>
        <m:r>
          <m:t>t</m:t>
        </m:r>
        <m:r>
          <m:t>h</m:t>
        </m:r>
        <m:r>
          <m:t>e</m:t>
        </m:r>
        <m:r>
          <m:rPr>
            <m:sty m:val="p"/>
          </m:rPr>
          <m:t>*</m:t>
        </m:r>
        <m:r>
          <m:rPr>
            <m:sty m:val="p"/>
          </m:rPr>
          <m:t>*</m:t>
        </m:r>
      </m:oMath>
      <w:r>
        <w:rPr>
          <w:b/>
          <w:bCs/>
        </w:rPr>
        <w:t xml:space="preserve">1.00–$1.01 analyst consensus</w:t>
      </w:r>
      <w:r>
        <w:t xml:space="preserve"> </w:t>
      </w:r>
      <w:r>
        <w:t xml:space="preserve">and implying roughly 9% growth from the $0.92 earned in Q2 2025. The more important issue is no longer whether SO can produce a small quarterly beat—it is whether the company can translate rapidly expanding data-center demand into durable earnings growth</w:t>
      </w:r>
      <w:r>
        <w:t xml:space="preserve"> </w:t>
      </w:r>
      <w:r>
        <w:rPr>
          <w:b/>
          <w:bCs/>
        </w:rPr>
        <w:t xml:space="preserve">without undermining customer affordability, regulatory support, or the balance sheet</w:t>
      </w:r>
      <w:r>
        <w:t xml:space="preserve">. (</w:t>
      </w:r>
      <w:hyperlink r:id="rId9">
        <w:r>
          <w:rPr>
            <w:rStyle w:val="Hyperlink"/>
          </w:rPr>
          <w:t xml:space="preserve">s27.q4cdn.com</w:t>
        </w:r>
      </w:hyperlink>
      <w:r>
        <w:t xml:space="preserve">)</w:t>
      </w:r>
    </w:p>
    <w:p>
      <w:pPr>
        <w:pStyle w:val="BodyText"/>
      </w:pPr>
      <w:r>
        <w:t xml:space="preserve">That question has become more significant following Georgia Power’s July 22 announcement that it will serve a planned OpenAI facility requiring approximately</w:t>
      </w:r>
      <w:r>
        <w:t xml:space="preserve"> </w:t>
      </w:r>
      <w:r>
        <w:rPr>
          <w:b/>
          <w:bCs/>
        </w:rPr>
        <w:t xml:space="preserve">3.2 GW</w:t>
      </w:r>
      <w:r>
        <w:t xml:space="preserve">, under a 25-year agreement that includes up to</w:t>
      </w:r>
      <w:r>
        <w:t xml:space="preserve"> </w:t>
      </w:r>
      <w:r>
        <w:rPr>
          <w:b/>
          <w:bCs/>
        </w:rPr>
        <w:t xml:space="preserve">1 GW of flexible demand response</w:t>
      </w:r>
      <w:r>
        <w:t xml:space="preserve">. This is potentially one of the largest additions yet to Southern’s large-load story and should dominate the conference call. (</w:t>
      </w:r>
      <w:hyperlink r:id="rId10">
        <w:r>
          <w:rPr>
            <w:rStyle w:val="Hyperlink"/>
          </w:rPr>
          <w:t xml:space="preserve">southerncompany.mediaroom.com</w:t>
        </w:r>
      </w:hyperlink>
      <w:r>
        <w:t xml:space="preserve">)</w:t>
      </w:r>
    </w:p>
    <w:bookmarkEnd w:id="11"/>
    <w:bookmarkStart w:id="12" w:name="key-expectations"/>
    <w:p>
      <w:pPr>
        <w:pStyle w:val="Heading2"/>
      </w:pPr>
      <w:r>
        <w:t xml:space="preserve">Key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w:t>
            </w:r>
          </w:p>
        </w:tc>
      </w:tr>
      <w:tr>
        <w:tc>
          <w:tcPr/>
          <w:p>
            <w:pPr>
              <w:pStyle w:val="Compact"/>
            </w:pPr>
            <w:r>
              <w:t xml:space="preserve">Adjusted EPS</w:t>
            </w:r>
          </w:p>
        </w:tc>
        <w:tc>
          <w:tcPr/>
          <w:p>
            <w:pPr>
              <w:pStyle w:val="Compact"/>
              <w:jc w:val="right"/>
            </w:pPr>
            <w:r>
              <w:rPr>
                <w:b/>
                <w:bCs/>
              </w:rPr>
              <w:t xml:space="preserve">$1.00 company estimate;</w:t>
            </w:r>
            <w:r>
              <w:rPr>
                <w:b/>
                <w:bCs/>
              </w:rPr>
              <w:t xml:space="preserve"> </w:t>
            </w:r>
            <m:oMath>
              <m:r>
                <m:t>1.00</m:t>
              </m:r>
              <m:r>
                <m:rPr>
                  <m:sty m:val="p"/>
                </m:rPr>
                <m:t>–</m:t>
              </m:r>
            </m:oMath>
            <w:r>
              <w:rPr>
                <w:b/>
                <w:bCs/>
              </w:rPr>
              <w:t xml:space="preserve">1.01 consensus</w:t>
            </w:r>
          </w:p>
        </w:tc>
        <w:tc>
          <w:tcPr/>
          <w:p>
            <w:pPr>
              <w:pStyle w:val="Compact"/>
              <w:jc w:val="right"/>
            </w:pPr>
            <w:r>
              <w:t xml:space="preserve">$0.92</w:t>
            </w:r>
          </w:p>
        </w:tc>
      </w:tr>
      <w:tr>
        <w:tc>
          <w:tcPr/>
          <w:p>
            <w:pPr>
              <w:pStyle w:val="Compact"/>
            </w:pPr>
            <w:r>
              <w:t xml:space="preserve">Revenue</w:t>
            </w:r>
          </w:p>
        </w:tc>
        <w:tc>
          <w:tcPr/>
          <w:p>
            <w:pPr>
              <w:pStyle w:val="Compact"/>
              <w:jc w:val="right"/>
            </w:pPr>
            <w:r>
              <w:rPr>
                <w:b/>
                <w:bCs/>
              </w:rPr>
              <w:t xml:space="preserve">Approximately</w:t>
            </w:r>
            <w:r>
              <w:rPr>
                <w:b/>
                <w:bCs/>
              </w:rPr>
              <w:t xml:space="preserve"> </w:t>
            </w:r>
            <m:oMath>
              <m:r>
                <m:t>7.23</m:t>
              </m:r>
              <m:r>
                <m:rPr>
                  <m:sty m:val="p"/>
                </m:rPr>
                <m:t>–</m:t>
              </m:r>
            </m:oMath>
            <w:r>
              <w:rPr>
                <w:b/>
                <w:bCs/>
              </w:rPr>
              <w:t xml:space="preserve">7.25 billion consensus</w:t>
            </w:r>
          </w:p>
        </w:tc>
        <w:tc>
          <w:tcPr/>
          <w:p>
            <w:pPr>
              <w:pStyle w:val="Compact"/>
              <w:jc w:val="right"/>
            </w:pPr>
            <w:r>
              <w:t xml:space="preserve">$6.97 billion</w:t>
            </w:r>
          </w:p>
        </w:tc>
      </w:tr>
      <w:tr>
        <w:tc>
          <w:tcPr/>
          <w:p>
            <w:pPr>
              <w:pStyle w:val="Compact"/>
            </w:pPr>
            <w:r>
              <w:t xml:space="preserve">FY2026 adjusted EPS guidance</w:t>
            </w:r>
          </w:p>
        </w:tc>
        <w:tc>
          <w:tcPr/>
          <w:p>
            <w:pPr>
              <w:pStyle w:val="Compact"/>
              <w:jc w:val="right"/>
            </w:pPr>
            <m:oMath>
              <m:r>
                <m:t>4.50</m:t>
              </m:r>
              <m:r>
                <m:rPr>
                  <m:sty m:val="p"/>
                </m:rPr>
                <m:t>–</m:t>
              </m:r>
            </m:oMath>
            <w:r>
              <w:rPr>
                <w:b/>
                <w:bCs/>
              </w:rPr>
              <w:t xml:space="preserve">4.60</w:t>
            </w:r>
          </w:p>
        </w:tc>
        <w:tc>
          <w:tcPr/>
          <w:p>
            <w:pPr>
              <w:pStyle w:val="Compact"/>
              <w:jc w:val="right"/>
            </w:pPr>
            <w:r>
              <w:t xml:space="preserve">—</w:t>
            </w:r>
          </w:p>
        </w:tc>
      </w:tr>
      <w:tr>
        <w:tc>
          <w:tcPr/>
          <w:p>
            <w:pPr>
              <w:pStyle w:val="Compact"/>
            </w:pPr>
            <w:r>
              <w:t xml:space="preserve">Five-year capital plan</w:t>
            </w:r>
          </w:p>
        </w:tc>
        <w:tc>
          <w:tcPr/>
          <w:p>
            <w:pPr>
              <w:pStyle w:val="Compact"/>
              <w:jc w:val="right"/>
            </w:pPr>
            <w:r>
              <w:rPr>
                <w:b/>
                <w:bCs/>
              </w:rPr>
              <w:t xml:space="preserve">$81 billion, 2026–2030</w:t>
            </w:r>
          </w:p>
        </w:tc>
        <w:tc>
          <w:tcPr/>
          <w:p>
            <w:pPr>
              <w:pStyle w:val="Compact"/>
              <w:jc w:val="right"/>
            </w:pPr>
            <w:r>
              <w:t xml:space="preserve">—</w:t>
            </w:r>
          </w:p>
        </w:tc>
      </w:tr>
    </w:tbl>
    <w:p>
      <w:pPr>
        <w:pStyle w:val="BodyText"/>
      </w:pPr>
      <w:r>
        <w:t xml:space="preserve">SO closed July 29 at approximately</w:t>
      </w:r>
      <w:r>
        <w:t xml:space="preserve"> </w:t>
      </w:r>
      <w:r>
        <w:rPr>
          <w:b/>
          <w:bCs/>
        </w:rPr>
        <w:t xml:space="preserve">$95.95</w:t>
      </w:r>
      <w:r>
        <w:t xml:space="preserve">, up about</w:t>
      </w:r>
      <w:r>
        <w:t xml:space="preserve"> </w:t>
      </w:r>
      <w:r>
        <w:rPr>
          <w:b/>
          <w:bCs/>
        </w:rPr>
        <w:t xml:space="preserve">10% year to date</w:t>
      </w:r>
      <w:r>
        <w:t xml:space="preserve">. At that price, the shares trade at roughly</w:t>
      </w:r>
      <w:r>
        <w:t xml:space="preserve"> </w:t>
      </w:r>
      <w:r>
        <w:rPr>
          <w:b/>
          <w:bCs/>
        </w:rPr>
        <w:t xml:space="preserve">21.1 times</w:t>
      </w:r>
      <w:r>
        <w:t xml:space="preserve"> </w:t>
      </w:r>
      <w:r>
        <w:t xml:space="preserve">the midpoint of 2026 guidance and yield about</w:t>
      </w:r>
      <w:r>
        <w:t xml:space="preserve"> </w:t>
      </w:r>
      <w:r>
        <w:rPr>
          <w:b/>
          <w:bCs/>
        </w:rPr>
        <w:t xml:space="preserve">3.2%</w:t>
      </w:r>
      <w:r>
        <w:t xml:space="preserve"> </w:t>
      </w:r>
      <w:r>
        <w:t xml:space="preserve">on the $3.04 annualized dividend. The valuation is not extreme relative to Southern’s improved growth profile, but it leaves less room for execution disappointments.</w:t>
      </w:r>
    </w:p>
    <w:bookmarkEnd w:id="12"/>
    <w:bookmarkStart w:id="22" w:name="what-matters-most"/>
    <w:p>
      <w:pPr>
        <w:pStyle w:val="Heading2"/>
      </w:pPr>
      <w:r>
        <w:t xml:space="preserve">What matters most</w:t>
      </w:r>
    </w:p>
    <w:bookmarkStart w:id="14" w:name="X3becdd344fb5e5020e6c6f8894fbe93f15f9fad"/>
    <w:p>
      <w:pPr>
        <w:pStyle w:val="Heading3"/>
      </w:pPr>
      <w:r>
        <w:t xml:space="preserve">1. The large-load update—and whether OpenAI changes the plan</w:t>
      </w:r>
    </w:p>
    <w:p>
      <w:pPr>
        <w:pStyle w:val="FirstParagraph"/>
      </w:pPr>
      <w:r>
        <w:t xml:space="preserve">At the end of Q1, Southern reported:</w:t>
      </w:r>
    </w:p>
    <w:p>
      <w:pPr>
        <w:pStyle w:val="Compact"/>
        <w:numPr>
          <w:ilvl w:val="0"/>
          <w:numId w:val="1001"/>
        </w:numPr>
      </w:pPr>
      <w:r>
        <w:t xml:space="preserve">More than</w:t>
      </w:r>
      <w:r>
        <w:t xml:space="preserve"> </w:t>
      </w:r>
      <w:r>
        <w:rPr>
          <w:b/>
          <w:bCs/>
        </w:rPr>
        <w:t xml:space="preserve">11 GW of contracted large load</w:t>
      </w:r>
    </w:p>
    <w:p>
      <w:pPr>
        <w:pStyle w:val="Compact"/>
        <w:numPr>
          <w:ilvl w:val="0"/>
          <w:numId w:val="1001"/>
        </w:numPr>
      </w:pPr>
      <w:r>
        <w:rPr>
          <w:b/>
          <w:bCs/>
        </w:rPr>
        <w:t xml:space="preserve">23 GW</w:t>
      </w:r>
      <w:r>
        <w:t xml:space="preserve"> </w:t>
      </w:r>
      <w:r>
        <w:t xml:space="preserve">contracted or in late-stage development</w:t>
      </w:r>
    </w:p>
    <w:p>
      <w:pPr>
        <w:pStyle w:val="Compact"/>
        <w:numPr>
          <w:ilvl w:val="0"/>
          <w:numId w:val="1001"/>
        </w:numPr>
      </w:pPr>
      <w:r>
        <w:t xml:space="preserve">Approximately</w:t>
      </w:r>
      <w:r>
        <w:t xml:space="preserve"> </w:t>
      </w:r>
      <w:r>
        <w:rPr>
          <w:b/>
          <w:bCs/>
        </w:rPr>
        <w:t xml:space="preserve">6 GW</w:t>
      </w:r>
      <w:r>
        <w:t xml:space="preserve"> </w:t>
      </w:r>
      <w:r>
        <w:t xml:space="preserve">expected to finalize in the near term</w:t>
      </w:r>
    </w:p>
    <w:p>
      <w:pPr>
        <w:pStyle w:val="Compact"/>
        <w:numPr>
          <w:ilvl w:val="0"/>
          <w:numId w:val="1001"/>
        </w:numPr>
      </w:pPr>
      <w:r>
        <w:t xml:space="preserve">A prospective pipeline exceeding</w:t>
      </w:r>
      <w:r>
        <w:t xml:space="preserve"> </w:t>
      </w:r>
      <w:r>
        <w:rPr>
          <w:b/>
          <w:bCs/>
        </w:rPr>
        <w:t xml:space="preserve">75 GW</w:t>
      </w:r>
    </w:p>
    <w:p>
      <w:pPr>
        <w:pStyle w:val="FirstParagraph"/>
      </w:pPr>
      <w:r>
        <w:t xml:space="preserve">The company also reported that Q1 data-center electricity usage increased</w:t>
      </w:r>
      <w:r>
        <w:t xml:space="preserve"> </w:t>
      </w:r>
      <w:r>
        <w:rPr>
          <w:b/>
          <w:bCs/>
        </w:rPr>
        <w:t xml:space="preserve">42% year over year</w:t>
      </w:r>
      <w:r>
        <w:t xml:space="preserve">, helping drive 4.6% weather-normal commercial sales growth and 2.3% total weather-normal retail growth. (</w:t>
      </w:r>
      <w:hyperlink r:id="rId13">
        <w:r>
          <w:rPr>
            <w:rStyle w:val="Hyperlink"/>
          </w:rPr>
          <w:t xml:space="preserve">s27.q4cdn.com</w:t>
        </w:r>
      </w:hyperlink>
      <w:r>
        <w:t xml:space="preserve">)</w:t>
      </w:r>
    </w:p>
    <w:p>
      <w:pPr>
        <w:pStyle w:val="BodyText"/>
      </w:pPr>
      <w:r>
        <w:t xml:space="preserve">The OpenAI announcement came after that update. Investors should listen for answers to four questions:</w:t>
      </w:r>
    </w:p>
    <w:p>
      <w:pPr>
        <w:pStyle w:val="Compact"/>
        <w:numPr>
          <w:ilvl w:val="0"/>
          <w:numId w:val="1002"/>
        </w:numPr>
      </w:pPr>
      <w:r>
        <w:rPr>
          <w:b/>
          <w:bCs/>
        </w:rPr>
        <w:t xml:space="preserve">Is the 3.2 GW OpenAI project now classified as contracted, finalizing, or late-stage?</w:t>
      </w:r>
    </w:p>
    <w:p>
      <w:pPr>
        <w:pStyle w:val="Compact"/>
        <w:numPr>
          <w:ilvl w:val="0"/>
          <w:numId w:val="1002"/>
        </w:numPr>
      </w:pPr>
      <w:r>
        <w:rPr>
          <w:b/>
          <w:bCs/>
        </w:rPr>
        <w:t xml:space="preserve">How much is included in Southern’s risk-adjusted sales forecast?</w:t>
      </w:r>
    </w:p>
    <w:p>
      <w:pPr>
        <w:pStyle w:val="Compact"/>
        <w:numPr>
          <w:ilvl w:val="0"/>
          <w:numId w:val="1002"/>
        </w:numPr>
      </w:pPr>
      <w:r>
        <w:rPr>
          <w:b/>
          <w:bCs/>
        </w:rPr>
        <w:t xml:space="preserve">Does it require capital beyond the current $81 billion plan?</w:t>
      </w:r>
    </w:p>
    <w:p>
      <w:pPr>
        <w:pStyle w:val="Compact"/>
        <w:numPr>
          <w:ilvl w:val="0"/>
          <w:numId w:val="1002"/>
        </w:numPr>
      </w:pPr>
      <w:r>
        <w:rPr>
          <w:b/>
          <w:bCs/>
        </w:rPr>
        <w:t xml:space="preserve">How much generation can be avoided because OpenAI has committed up to 1 GW of demand response?</w:t>
      </w:r>
    </w:p>
    <w:p>
      <w:pPr>
        <w:pStyle w:val="FirstParagraph"/>
      </w:pPr>
      <w:r>
        <w:t xml:space="preserve">The demand-response provision is particularly important. OpenAI has agreed to reduce consumption during periods of peak system demand, potentially allowing Georgia Power to build fewer generation resources than would otherwise be required. OpenAI will also pay the full infrastructure and electric-service costs and provide financial assurances designed to protect existing customers. (</w:t>
      </w:r>
      <w:hyperlink r:id="rId10">
        <w:r>
          <w:rPr>
            <w:rStyle w:val="Hyperlink"/>
          </w:rPr>
          <w:t xml:space="preserve">southerncompany.mediaroom.com</w:t>
        </w:r>
      </w:hyperlink>
      <w:r>
        <w:t xml:space="preserve">)</w:t>
      </w:r>
    </w:p>
    <w:p>
      <w:pPr>
        <w:pStyle w:val="BodyText"/>
      </w:pPr>
      <w:r>
        <w:t xml:space="preserve">A material increase in contracted load would be positive, but investors should distinguish between</w:t>
      </w:r>
      <w:r>
        <w:t xml:space="preserve"> </w:t>
      </w:r>
      <w:r>
        <w:rPr>
          <w:b/>
          <w:bCs/>
        </w:rPr>
        <w:t xml:space="preserve">headline gigawatts</w:t>
      </w:r>
      <w:r>
        <w:t xml:space="preserve"> </w:t>
      </w:r>
      <w:r>
        <w:t xml:space="preserve">and gigawatts that meaningfully affect revenue and earnings before 2030.</w:t>
      </w:r>
    </w:p>
    <w:bookmarkEnd w:id="14"/>
    <w:bookmarkStart w:id="16" w:name="Xe861ad25ae13b9bf7ef1ed5a0392fb424249245"/>
    <w:p>
      <w:pPr>
        <w:pStyle w:val="Heading3"/>
      </w:pPr>
      <w:r>
        <w:t xml:space="preserve">2. Full-year guidance: reaffirmation is expected; a raise would be notable</w:t>
      </w:r>
    </w:p>
    <w:p>
      <w:pPr>
        <w:pStyle w:val="FirstParagraph"/>
      </w:pPr>
      <w:r>
        <w:t xml:space="preserve">Southern entered Q2 with a cushion after reporting</w:t>
      </w:r>
      <w:r>
        <w:t xml:space="preserve"> </w:t>
      </w:r>
      <w:r>
        <w:rPr>
          <w:b/>
          <w:bCs/>
        </w:rPr>
        <w:t xml:space="preserve">$1.32 of adjusted EPS in Q1</w:t>
      </w:r>
      <w:r>
        <w:t xml:space="preserve">, $0.12 above its internal estimate. Q1 performance benefited from customer growth, increased usage, utility investment and wholesale revenue, partly offset by weather and higher interest expense. (</w:t>
      </w:r>
      <w:hyperlink r:id="rId15">
        <w:r>
          <w:rPr>
            <w:rStyle w:val="Hyperlink"/>
          </w:rPr>
          <w:t xml:space="preserve">southerncompany.mediaroom.com</w:t>
        </w:r>
      </w:hyperlink>
      <w:r>
        <w:t xml:space="preserve">)</w:t>
      </w:r>
    </w:p>
    <w:p>
      <w:pPr>
        <w:pStyle w:val="BodyText"/>
      </w:pPr>
      <w:r>
        <w:t xml:space="preserve">If Q2 lands at management’s</w:t>
      </w:r>
      <w:r>
        <w:t xml:space="preserve"> </w:t>
      </w:r>
      <m:oMath>
        <m:r>
          <m:t>1.00</m:t>
        </m:r>
        <m:r>
          <m:t>e</m:t>
        </m:r>
        <m:r>
          <m:t>s</m:t>
        </m:r>
        <m:r>
          <m:t>t</m:t>
        </m:r>
        <m:r>
          <m:t>i</m:t>
        </m:r>
        <m:r>
          <m:t>m</m:t>
        </m:r>
        <m:r>
          <m:t>a</m:t>
        </m:r>
        <m:r>
          <m:t>t</m:t>
        </m:r>
        <m:r>
          <m:t>e</m:t>
        </m:r>
        <m:r>
          <m:rPr>
            <m:sty m:val="p"/>
          </m:rPr>
          <m:t>,</m:t>
        </m:r>
        <m:r>
          <m:t>f</m:t>
        </m:r>
        <m:r>
          <m:t>i</m:t>
        </m:r>
        <m:r>
          <m:t>r</m:t>
        </m:r>
        <m:r>
          <m:t>s</m:t>
        </m:r>
        <m:r>
          <m:t>t</m:t>
        </m:r>
        <m:r>
          <m:rPr>
            <m:sty m:val="p"/>
          </m:rPr>
          <m:t>−</m:t>
        </m:r>
        <m:r>
          <m:t>h</m:t>
        </m:r>
        <m:r>
          <m:t>a</m:t>
        </m:r>
        <m:r>
          <m:t>l</m:t>
        </m:r>
        <m:r>
          <m:t>f</m:t>
        </m:r>
        <m:r>
          <m:t>a</m:t>
        </m:r>
        <m:r>
          <m:t>d</m:t>
        </m:r>
        <m:r>
          <m:t>j</m:t>
        </m:r>
        <m:r>
          <m:t>u</m:t>
        </m:r>
        <m:r>
          <m:t>s</m:t>
        </m:r>
        <m:r>
          <m:t>t</m:t>
        </m:r>
        <m:r>
          <m:t>e</m:t>
        </m:r>
        <m:r>
          <m:t>d</m:t>
        </m:r>
        <m:r>
          <m:t>E</m:t>
        </m:r>
        <m:r>
          <m:t>P</m:t>
        </m:r>
        <m:r>
          <m:t>S</m:t>
        </m:r>
        <m:r>
          <m:t>w</m:t>
        </m:r>
        <m:r>
          <m:t>o</m:t>
        </m:r>
        <m:r>
          <m:t>u</m:t>
        </m:r>
        <m:r>
          <m:t>l</m:t>
        </m:r>
        <m:r>
          <m:t>d</m:t>
        </m:r>
        <m:r>
          <m:t>t</m:t>
        </m:r>
        <m:r>
          <m:t>o</m:t>
        </m:r>
        <m:r>
          <m:t>t</m:t>
        </m:r>
        <m:r>
          <m:t>a</m:t>
        </m:r>
        <m:r>
          <m:t>l</m:t>
        </m:r>
        <m:r>
          <m:t>a</m:t>
        </m:r>
        <m:r>
          <m:t>p</m:t>
        </m:r>
        <m:r>
          <m:t>p</m:t>
        </m:r>
        <m:r>
          <m:t>r</m:t>
        </m:r>
        <m:r>
          <m:t>o</m:t>
        </m:r>
        <m:r>
          <m:t>x</m:t>
        </m:r>
        <m:r>
          <m:t>i</m:t>
        </m:r>
        <m:r>
          <m:t>m</m:t>
        </m:r>
        <m:r>
          <m:t>a</m:t>
        </m:r>
        <m:r>
          <m:t>t</m:t>
        </m:r>
        <m:r>
          <m:t>e</m:t>
        </m:r>
        <m:r>
          <m:t>l</m:t>
        </m:r>
        <m:r>
          <m:t>y</m:t>
        </m:r>
        <m:r>
          <m:rPr>
            <m:sty m:val="p"/>
          </m:rPr>
          <m:t>*</m:t>
        </m:r>
        <m:r>
          <m:rPr>
            <m:sty m:val="p"/>
          </m:rPr>
          <m:t>*</m:t>
        </m:r>
      </m:oMath>
      <w:r>
        <w:t xml:space="preserve">2.32**. That would leave about</w:t>
      </w:r>
      <w:r>
        <w:t xml:space="preserve"> </w:t>
      </w:r>
      <w:r>
        <w:rPr>
          <w:b/>
          <w:bCs/>
        </w:rPr>
        <w:t xml:space="preserve">$2.23</w:t>
      </w:r>
      <w:r>
        <w:t xml:space="preserve"> </w:t>
      </w:r>
      <w:r>
        <w:t xml:space="preserve">required in the second half to reach the midpoint of the</w:t>
      </w:r>
      <w:r>
        <w:t xml:space="preserve"> </w:t>
      </w:r>
      <m:oMath>
        <m:r>
          <m:t>4.50</m:t>
        </m:r>
        <m:r>
          <m:rPr>
            <m:sty m:val="p"/>
          </m:rPr>
          <m:t>–</m:t>
        </m:r>
      </m:oMath>
      <w:r>
        <w:t xml:space="preserve">4.60 annual range.</w:t>
      </w:r>
    </w:p>
    <w:p>
      <w:pPr>
        <w:pStyle w:val="BodyText"/>
      </w:pPr>
      <w:r>
        <w:t xml:space="preserve">The base case is therefore:</w:t>
      </w:r>
    </w:p>
    <w:p>
      <w:pPr>
        <w:pStyle w:val="Compact"/>
        <w:numPr>
          <w:ilvl w:val="0"/>
          <w:numId w:val="1003"/>
        </w:numPr>
      </w:pPr>
      <w:r>
        <w:t xml:space="preserve">Q2 adjusted EPS near $1.00</w:t>
      </w:r>
    </w:p>
    <w:p>
      <w:pPr>
        <w:pStyle w:val="Compact"/>
        <w:numPr>
          <w:ilvl w:val="0"/>
          <w:numId w:val="1003"/>
        </w:numPr>
      </w:pPr>
      <w:r>
        <w:t xml:space="preserve">FY2026 guidance reaffirmed</w:t>
      </w:r>
    </w:p>
    <w:p>
      <w:pPr>
        <w:pStyle w:val="Compact"/>
        <w:numPr>
          <w:ilvl w:val="0"/>
          <w:numId w:val="1003"/>
        </w:numPr>
      </w:pPr>
      <w:r>
        <w:t xml:space="preserve">Management emphasizes confidence in finishing near the upper half of the range</w:t>
      </w:r>
    </w:p>
    <w:p>
      <w:pPr>
        <w:pStyle w:val="FirstParagraph"/>
      </w:pPr>
      <w:r>
        <w:t xml:space="preserve">An outright guidance increase would be a strong signal, but it is not necessary for the report to be viewed positively. Southern traditionally maintains some contingency for weather, storms, operating costs and financing volatility.</w:t>
      </w:r>
    </w:p>
    <w:bookmarkEnd w:id="16"/>
    <w:bookmarkStart w:id="17" w:name="X86452a49c3496135a97baeffaeb8c8e867fa25c"/>
    <w:p>
      <w:pPr>
        <w:pStyle w:val="Heading3"/>
      </w:pPr>
      <w:r>
        <w:t xml:space="preserve">3. Sales growth needs to confirm that Q1 was not an outlier</w:t>
      </w:r>
    </w:p>
    <w:p>
      <w:pPr>
        <w:pStyle w:val="FirstParagraph"/>
      </w:pPr>
      <w:r>
        <w:t xml:space="preserve">Q1 was unusually strong for an electric utility:</w:t>
      </w:r>
    </w:p>
    <w:p>
      <w:pPr>
        <w:pStyle w:val="Compact"/>
        <w:numPr>
          <w:ilvl w:val="0"/>
          <w:numId w:val="1004"/>
        </w:numPr>
      </w:pPr>
      <w:r>
        <w:t xml:space="preserve">Weather-normal retail sales:</w:t>
      </w:r>
      <w:r>
        <w:t xml:space="preserve"> </w:t>
      </w:r>
      <w:r>
        <w:rPr>
          <w:b/>
          <w:bCs/>
        </w:rPr>
        <w:t xml:space="preserve">+2.3%</w:t>
      </w:r>
    </w:p>
    <w:p>
      <w:pPr>
        <w:pStyle w:val="Compact"/>
        <w:numPr>
          <w:ilvl w:val="0"/>
          <w:numId w:val="1004"/>
        </w:numPr>
      </w:pPr>
      <w:r>
        <w:t xml:space="preserve">Commercial sales:</w:t>
      </w:r>
      <w:r>
        <w:t xml:space="preserve"> </w:t>
      </w:r>
      <w:r>
        <w:rPr>
          <w:b/>
          <w:bCs/>
        </w:rPr>
        <w:t xml:space="preserve">+4.6%</w:t>
      </w:r>
    </w:p>
    <w:p>
      <w:pPr>
        <w:pStyle w:val="Compact"/>
        <w:numPr>
          <w:ilvl w:val="0"/>
          <w:numId w:val="1004"/>
        </w:numPr>
      </w:pPr>
      <w:r>
        <w:t xml:space="preserve">Industrial sales:</w:t>
      </w:r>
      <w:r>
        <w:t xml:space="preserve"> </w:t>
      </w:r>
      <w:r>
        <w:rPr>
          <w:b/>
          <w:bCs/>
        </w:rPr>
        <w:t xml:space="preserve">+1.5%</w:t>
      </w:r>
    </w:p>
    <w:p>
      <w:pPr>
        <w:pStyle w:val="Compact"/>
        <w:numPr>
          <w:ilvl w:val="0"/>
          <w:numId w:val="1004"/>
        </w:numPr>
      </w:pPr>
      <w:r>
        <w:t xml:space="preserve">Data-center usage:</w:t>
      </w:r>
      <w:r>
        <w:t xml:space="preserve"> </w:t>
      </w:r>
      <w:r>
        <w:rPr>
          <w:b/>
          <w:bCs/>
        </w:rPr>
        <w:t xml:space="preserve">+42%</w:t>
      </w:r>
    </w:p>
    <w:p>
      <w:pPr>
        <w:pStyle w:val="Compact"/>
        <w:numPr>
          <w:ilvl w:val="0"/>
          <w:numId w:val="1004"/>
        </w:numPr>
      </w:pPr>
      <w:r>
        <w:t xml:space="preserve">New residential electric customers: approximately</w:t>
      </w:r>
      <w:r>
        <w:t xml:space="preserve"> </w:t>
      </w:r>
      <w:r>
        <w:rPr>
          <w:b/>
          <w:bCs/>
        </w:rPr>
        <w:t xml:space="preserve">46,000 year over year</w:t>
      </w:r>
      <w:r>
        <w:t xml:space="preserve"> </w:t>
      </w:r>
      <w:r>
        <w:t xml:space="preserve">(</w:t>
      </w:r>
      <w:hyperlink r:id="rId13">
        <w:r>
          <w:rPr>
            <w:rStyle w:val="Hyperlink"/>
          </w:rPr>
          <w:t xml:space="preserve">s27.q4cdn.com</w:t>
        </w:r>
      </w:hyperlink>
      <w:r>
        <w:t xml:space="preserve">)</w:t>
      </w:r>
    </w:p>
    <w:p>
      <w:pPr>
        <w:pStyle w:val="FirstParagraph"/>
      </w:pPr>
      <w:r>
        <w:t xml:space="preserve">For Q2, investors should prioritize weather-normal sales over reported volumes. Weather can meaningfully affect residential demand, but sustained commercial and industrial growth would validate the company’s underlying economic-development thesis.</w:t>
      </w:r>
    </w:p>
    <w:p>
      <w:pPr>
        <w:pStyle w:val="BodyText"/>
      </w:pPr>
      <w:r>
        <w:t xml:space="preserve">The ideal report would show:</w:t>
      </w:r>
    </w:p>
    <w:p>
      <w:pPr>
        <w:pStyle w:val="Compact"/>
        <w:numPr>
          <w:ilvl w:val="0"/>
          <w:numId w:val="1005"/>
        </w:numPr>
      </w:pPr>
      <w:r>
        <w:t xml:space="preserve">Continued high-single-digit or better data-center usage growth</w:t>
      </w:r>
    </w:p>
    <w:p>
      <w:pPr>
        <w:pStyle w:val="Compact"/>
        <w:numPr>
          <w:ilvl w:val="0"/>
          <w:numId w:val="1005"/>
        </w:numPr>
      </w:pPr>
      <w:r>
        <w:t xml:space="preserve">Positive industrial sales despite broader economic uncertainty</w:t>
      </w:r>
    </w:p>
    <w:p>
      <w:pPr>
        <w:pStyle w:val="Compact"/>
        <w:numPr>
          <w:ilvl w:val="0"/>
          <w:numId w:val="1005"/>
        </w:numPr>
      </w:pPr>
      <w:r>
        <w:t xml:space="preserve">Additional residential customer growth</w:t>
      </w:r>
    </w:p>
    <w:p>
      <w:pPr>
        <w:pStyle w:val="Compact"/>
        <w:numPr>
          <w:ilvl w:val="0"/>
          <w:numId w:val="1005"/>
        </w:numPr>
      </w:pPr>
      <w:r>
        <w:t xml:space="preserve">Large-load facilities ramping approximately in line with contract assumptions</w:t>
      </w:r>
    </w:p>
    <w:p>
      <w:pPr>
        <w:pStyle w:val="FirstParagraph"/>
      </w:pPr>
      <w:r>
        <w:t xml:space="preserve">A slowdown caused by project timing would not necessarily impair long-term value, but it could delay the earnings acceleration expected in 2027 and especially 2028.</w:t>
      </w:r>
    </w:p>
    <w:bookmarkEnd w:id="17"/>
    <w:bookmarkStart w:id="18" w:name="X249f8e0d2f67e412410e35fb95866dd37e5c2c0"/>
    <w:p>
      <w:pPr>
        <w:pStyle w:val="Heading3"/>
      </w:pPr>
      <w:r>
        <w:t xml:space="preserve">4. Capital spending and equity requirements</w:t>
      </w:r>
    </w:p>
    <w:p>
      <w:pPr>
        <w:pStyle w:val="FirstParagraph"/>
      </w:pPr>
      <w:r>
        <w:t xml:space="preserve">Southern’s current five-year plan calls for</w:t>
      </w:r>
      <w:r>
        <w:t xml:space="preserve"> </w:t>
      </w:r>
      <w:r>
        <w:rPr>
          <w:b/>
          <w:bCs/>
        </w:rPr>
        <w:t xml:space="preserve">$81 billion of capital investment</w:t>
      </w:r>
      <w:r>
        <w:t xml:space="preserve">, with 95% allocated to state-regulated utilities. The plan supports approximately 9% regulated rate-base growth and includes 10 GW of approved new regulated generation under construction. Management projects 8%–9% adjusted EPS growth through 2028 and 7%–8% thereafter from the higher 2028 base. (</w:t>
      </w:r>
      <w:hyperlink r:id="rId13">
        <w:r>
          <w:rPr>
            <w:rStyle w:val="Hyperlink"/>
          </w:rPr>
          <w:t xml:space="preserve">s27.q4cdn.com</w:t>
        </w:r>
      </w:hyperlink>
      <w:r>
        <w:t xml:space="preserve">)</w:t>
      </w:r>
    </w:p>
    <w:p>
      <w:pPr>
        <w:pStyle w:val="BodyText"/>
      </w:pPr>
      <w:r>
        <w:t xml:space="preserve">Financing is central to the thesis:</w:t>
      </w:r>
    </w:p>
    <w:p>
      <w:pPr>
        <w:pStyle w:val="Compact"/>
        <w:numPr>
          <w:ilvl w:val="0"/>
          <w:numId w:val="1006"/>
        </w:numPr>
      </w:pPr>
      <w:r>
        <w:t xml:space="preserve">Southern had approximately</w:t>
      </w:r>
      <w:r>
        <w:t xml:space="preserve"> </w:t>
      </w:r>
      <w:r>
        <w:rPr>
          <w:b/>
          <w:bCs/>
        </w:rPr>
        <w:t xml:space="preserve">$1.8 billion of remaining equity or equity-equivalent needs through 2030</w:t>
      </w:r>
      <w:r>
        <w:t xml:space="preserve"> </w:t>
      </w:r>
      <w:r>
        <w:t xml:space="preserve">as of Q1.</w:t>
      </w:r>
    </w:p>
    <w:p>
      <w:pPr>
        <w:pStyle w:val="Compact"/>
        <w:numPr>
          <w:ilvl w:val="0"/>
          <w:numId w:val="1006"/>
        </w:numPr>
      </w:pPr>
      <w:r>
        <w:t xml:space="preserve">The company expects incremental capital above the existing plan to require roughly</w:t>
      </w:r>
      <w:r>
        <w:t xml:space="preserve"> </w:t>
      </w:r>
      <w:r>
        <w:rPr>
          <w:b/>
          <w:bCs/>
        </w:rPr>
        <w:t xml:space="preserve">40% equity or equity equivalents</w:t>
      </w:r>
      <w:r>
        <w:t xml:space="preserve">.</w:t>
      </w:r>
    </w:p>
    <w:p>
      <w:pPr>
        <w:pStyle w:val="Compact"/>
        <w:numPr>
          <w:ilvl w:val="0"/>
          <w:numId w:val="1006"/>
        </w:numPr>
      </w:pPr>
      <w:r>
        <w:t xml:space="preserve">The $26.5 billion DOE loan package should reduce conventional capital-market needs and is projected to produce approximately $7 billion of customer savings over 30 years. (</w:t>
      </w:r>
      <w:hyperlink r:id="rId13">
        <w:r>
          <w:rPr>
            <w:rStyle w:val="Hyperlink"/>
          </w:rPr>
          <w:t xml:space="preserve">s27.q4cdn.com</w:t>
        </w:r>
      </w:hyperlink>
      <w:r>
        <w:t xml:space="preserve">)</w:t>
      </w:r>
    </w:p>
    <w:p>
      <w:pPr>
        <w:pStyle w:val="FirstParagraph"/>
      </w:pPr>
      <w:r>
        <w:t xml:space="preserve">Investors should watch for any increase in the equity requirement associated with OpenAI, additional generation, transmission investment or Southern Power projects. Additional capital is not inherently negative—it can extend the growth runway—but the market will evaluate how much incremental EPS it produces relative to dilution.</w:t>
      </w:r>
    </w:p>
    <w:bookmarkEnd w:id="18"/>
    <w:bookmarkStart w:id="20" w:name="Xe939f495decd7225c7e03312a2b13af129a562f"/>
    <w:p>
      <w:pPr>
        <w:pStyle w:val="Heading3"/>
      </w:pPr>
      <w:r>
        <w:t xml:space="preserve">5. Affordability and regulatory durability</w:t>
      </w:r>
    </w:p>
    <w:p>
      <w:pPr>
        <w:pStyle w:val="FirstParagraph"/>
      </w:pPr>
      <w:r>
        <w:t xml:space="preserve">Southern’s strategy depends on the proposition that data centers pay their full cost and create benefits for existing customers. That is increasingly important as public scrutiny of AI-related electricity demand rises.</w:t>
      </w:r>
    </w:p>
    <w:p>
      <w:pPr>
        <w:pStyle w:val="BodyText"/>
      </w:pPr>
      <w:r>
        <w:t xml:space="preserve">Georgia Power recently reiterated that large energy users must pay their way and said its strategy supports both the existing base-rate freeze and projected annual savings of</w:t>
      </w:r>
      <w:r>
        <w:t xml:space="preserve"> </w:t>
      </w:r>
      <w:r>
        <w:rPr>
          <w:b/>
          <w:bCs/>
        </w:rPr>
        <w:t xml:space="preserve">$102 for a typical residential customer beginning in 2029</w:t>
      </w:r>
      <w:r>
        <w:t xml:space="preserve">. Southern also joined the federal Ratepayer Protection Pledge on July 23. (</w:t>
      </w:r>
      <w:hyperlink r:id="rId19">
        <w:r>
          <w:rPr>
            <w:rStyle w:val="Hyperlink"/>
          </w:rPr>
          <w:t xml:space="preserve">southerncompany.mediaroom.com</w:t>
        </w:r>
      </w:hyperlink>
      <w:r>
        <w:t xml:space="preserve">)</w:t>
      </w:r>
    </w:p>
    <w:p>
      <w:pPr>
        <w:pStyle w:val="BodyText"/>
      </w:pPr>
      <w:r>
        <w:t xml:space="preserve">Management will likely emphasize:</w:t>
      </w:r>
    </w:p>
    <w:p>
      <w:pPr>
        <w:pStyle w:val="Compact"/>
        <w:numPr>
          <w:ilvl w:val="0"/>
          <w:numId w:val="1007"/>
        </w:numPr>
      </w:pPr>
      <w:r>
        <w:t xml:space="preserve">Minimum bills designed to recover the cost to serve</w:t>
      </w:r>
    </w:p>
    <w:p>
      <w:pPr>
        <w:pStyle w:val="Compact"/>
        <w:numPr>
          <w:ilvl w:val="0"/>
          <w:numId w:val="1007"/>
        </w:numPr>
      </w:pPr>
      <w:r>
        <w:t xml:space="preserve">Long-term contract duration</w:t>
      </w:r>
    </w:p>
    <w:p>
      <w:pPr>
        <w:pStyle w:val="Compact"/>
        <w:numPr>
          <w:ilvl w:val="0"/>
          <w:numId w:val="1007"/>
        </w:numPr>
      </w:pPr>
      <w:r>
        <w:t xml:space="preserve">Termination payments and collateral</w:t>
      </w:r>
    </w:p>
    <w:p>
      <w:pPr>
        <w:pStyle w:val="Compact"/>
        <w:numPr>
          <w:ilvl w:val="0"/>
          <w:numId w:val="1007"/>
        </w:numPr>
      </w:pPr>
      <w:r>
        <w:t xml:space="preserve">Customer-funded local infrastructure</w:t>
      </w:r>
    </w:p>
    <w:p>
      <w:pPr>
        <w:pStyle w:val="Compact"/>
        <w:numPr>
          <w:ilvl w:val="0"/>
          <w:numId w:val="1007"/>
        </w:numPr>
      </w:pPr>
      <w:r>
        <w:t xml:space="preserve">Flexible-load arrangements</w:t>
      </w:r>
    </w:p>
    <w:p>
      <w:pPr>
        <w:pStyle w:val="Compact"/>
        <w:numPr>
          <w:ilvl w:val="0"/>
          <w:numId w:val="1007"/>
        </w:numPr>
      </w:pPr>
      <w:r>
        <w:t xml:space="preserve">Multiyear base-rate stability in Georgia and Alabama</w:t>
      </w:r>
    </w:p>
    <w:p>
      <w:pPr>
        <w:pStyle w:val="FirstParagraph"/>
      </w:pPr>
      <w:r>
        <w:t xml:space="preserve">The key investor question is whether these protections remain adequate as individual projects become substantially larger.</w:t>
      </w:r>
    </w:p>
    <w:bookmarkEnd w:id="20"/>
    <w:bookmarkStart w:id="21" w:name="Xe631c19f4b98ce36c23c14e7f49d14e5565a2a1"/>
    <w:p>
      <w:pPr>
        <w:pStyle w:val="Heading3"/>
      </w:pPr>
      <w:r>
        <w:t xml:space="preserve">6. Southern Power: adjusted versus GAAP earnings</w:t>
      </w:r>
    </w:p>
    <w:p>
      <w:pPr>
        <w:pStyle w:val="FirstParagraph"/>
      </w:pPr>
      <w:r>
        <w:t xml:space="preserve">Southern Power’s GAAP results will continue to be affected by accelerated depreciation associated with wind repowering. At March 31, the company expected approximately</w:t>
      </w:r>
      <w:r>
        <w:t xml:space="preserve"> </w:t>
      </w:r>
      <w:r>
        <w:rPr>
          <w:b/>
          <w:bCs/>
        </w:rPr>
        <w:t xml:space="preserve">$335 million of remaining pre-tax accelerated depreciation during 2026</w:t>
      </w:r>
      <w:r>
        <w:t xml:space="preserve"> </w:t>
      </w:r>
      <w:r>
        <w:t xml:space="preserve">and $100 million during 2027. These charges are excluded from adjusted EPS, so the difference between reported and adjusted earnings may again be material. (</w:t>
      </w:r>
      <w:hyperlink r:id="rId13">
        <w:r>
          <w:rPr>
            <w:rStyle w:val="Hyperlink"/>
          </w:rPr>
          <w:t xml:space="preserve">s27.q4cdn.com</w:t>
        </w:r>
      </w:hyperlink>
      <w:r>
        <w:t xml:space="preserve">)</w:t>
      </w:r>
    </w:p>
    <w:p>
      <w:pPr>
        <w:pStyle w:val="BodyText"/>
      </w:pPr>
      <w:r>
        <w:t xml:space="preserve">More strategically, watch for updates on:</w:t>
      </w:r>
    </w:p>
    <w:p>
      <w:pPr>
        <w:pStyle w:val="Compact"/>
        <w:numPr>
          <w:ilvl w:val="0"/>
          <w:numId w:val="1008"/>
        </w:numPr>
      </w:pPr>
      <w:r>
        <w:t xml:space="preserve">The announced</w:t>
      </w:r>
      <w:r>
        <w:t xml:space="preserve"> </w:t>
      </w:r>
      <w:r>
        <w:rPr>
          <w:b/>
          <w:bCs/>
        </w:rPr>
        <w:t xml:space="preserve">400 MW</w:t>
      </w:r>
      <w:r>
        <w:t xml:space="preserve"> </w:t>
      </w:r>
      <w:r>
        <w:t xml:space="preserve">of natural-gas turbine uprates</w:t>
      </w:r>
    </w:p>
    <w:p>
      <w:pPr>
        <w:pStyle w:val="Compact"/>
        <w:numPr>
          <w:ilvl w:val="0"/>
          <w:numId w:val="1008"/>
        </w:numPr>
      </w:pPr>
      <w:r>
        <w:t xml:space="preserve">Approximately</w:t>
      </w:r>
      <w:r>
        <w:t xml:space="preserve"> </w:t>
      </w:r>
      <w:r>
        <w:rPr>
          <w:b/>
          <w:bCs/>
        </w:rPr>
        <w:t xml:space="preserve">$700 million</w:t>
      </w:r>
      <w:r>
        <w:t xml:space="preserve"> </w:t>
      </w:r>
      <w:r>
        <w:t xml:space="preserve">of related capital investment</w:t>
      </w:r>
    </w:p>
    <w:p>
      <w:pPr>
        <w:pStyle w:val="Compact"/>
        <w:numPr>
          <w:ilvl w:val="0"/>
          <w:numId w:val="1008"/>
        </w:numPr>
      </w:pPr>
      <w:r>
        <w:t xml:space="preserve">Potential additional uprates of roughly 300 MW</w:t>
      </w:r>
    </w:p>
    <w:p>
      <w:pPr>
        <w:pStyle w:val="Compact"/>
        <w:numPr>
          <w:ilvl w:val="0"/>
          <w:numId w:val="1008"/>
        </w:numPr>
      </w:pPr>
      <w:r>
        <w:t xml:space="preserve">Contracting progress with creditworthy counterparties</w:t>
      </w:r>
    </w:p>
    <w:p>
      <w:pPr>
        <w:pStyle w:val="Compact"/>
        <w:numPr>
          <w:ilvl w:val="0"/>
          <w:numId w:val="1008"/>
        </w:numPr>
      </w:pPr>
      <w:r>
        <w:t xml:space="preserve">Possible brownfield or greenfield generation opportunities</w:t>
      </w:r>
    </w:p>
    <w:p>
      <w:pPr>
        <w:pStyle w:val="FirstParagraph"/>
      </w:pPr>
      <w:r>
        <w:t xml:space="preserve">Southern Power can extend the company’s growth runway, but management has repeatedly said it will not assume meaningful merchant risk.</w:t>
      </w:r>
    </w:p>
    <w:bookmarkEnd w:id="21"/>
    <w:bookmarkEnd w:id="22"/>
    <w:bookmarkStart w:id="26" w:name="potential-share-price-reactions"/>
    <w:p>
      <w:pPr>
        <w:pStyle w:val="Heading2"/>
      </w:pPr>
      <w:r>
        <w:t xml:space="preserve">Potential share-price reactions</w:t>
      </w:r>
    </w:p>
    <w:bookmarkStart w:id="23" w:name="bullish-outcome"/>
    <w:p>
      <w:pPr>
        <w:pStyle w:val="Heading3"/>
      </w:pPr>
      <w:r>
        <w:t xml:space="preserve">Bullish outcome</w:t>
      </w:r>
    </w:p>
    <w:p>
      <w:pPr>
        <w:pStyle w:val="Compact"/>
        <w:numPr>
          <w:ilvl w:val="0"/>
          <w:numId w:val="1009"/>
        </w:numPr>
      </w:pPr>
      <w:r>
        <w:t xml:space="preserve">Adjusted EPS above approximately $1.01</w:t>
      </w:r>
    </w:p>
    <w:p>
      <w:pPr>
        <w:pStyle w:val="Compact"/>
        <w:numPr>
          <w:ilvl w:val="0"/>
          <w:numId w:val="1009"/>
        </w:numPr>
      </w:pPr>
      <w:r>
        <w:t xml:space="preserve">FY2026 guidance raised or management signals a strong bias toward the upper end</w:t>
      </w:r>
    </w:p>
    <w:p>
      <w:pPr>
        <w:pStyle w:val="Compact"/>
        <w:numPr>
          <w:ilvl w:val="0"/>
          <w:numId w:val="1009"/>
        </w:numPr>
      </w:pPr>
      <w:r>
        <w:t xml:space="preserve">Contracted large load rises materially</w:t>
      </w:r>
    </w:p>
    <w:p>
      <w:pPr>
        <w:pStyle w:val="Compact"/>
        <w:numPr>
          <w:ilvl w:val="0"/>
          <w:numId w:val="1009"/>
        </w:numPr>
      </w:pPr>
      <w:r>
        <w:t xml:space="preserve">OpenAI is substantially reflected in the forecast without a disproportionate increase in equity needs</w:t>
      </w:r>
    </w:p>
    <w:p>
      <w:pPr>
        <w:pStyle w:val="Compact"/>
        <w:numPr>
          <w:ilvl w:val="0"/>
          <w:numId w:val="1009"/>
        </w:numPr>
      </w:pPr>
      <w:r>
        <w:t xml:space="preserve">Continued strong weather-normal commercial and industrial sales</w:t>
      </w:r>
    </w:p>
    <w:p>
      <w:pPr>
        <w:pStyle w:val="Compact"/>
        <w:numPr>
          <w:ilvl w:val="0"/>
          <w:numId w:val="1009"/>
        </w:numPr>
      </w:pPr>
      <w:r>
        <w:t xml:space="preserve">No material project delays or cost escalation</w:t>
      </w:r>
    </w:p>
    <w:bookmarkEnd w:id="23"/>
    <w:bookmarkStart w:id="24" w:name="neutral-outcome"/>
    <w:p>
      <w:pPr>
        <w:pStyle w:val="Heading3"/>
      </w:pPr>
      <w:r>
        <w:t xml:space="preserve">Neutral outcome</w:t>
      </w:r>
    </w:p>
    <w:p>
      <w:pPr>
        <w:pStyle w:val="Compact"/>
        <w:numPr>
          <w:ilvl w:val="0"/>
          <w:numId w:val="1010"/>
        </w:numPr>
      </w:pPr>
      <w:r>
        <w:t xml:space="preserve">EPS near $1.00</w:t>
      </w:r>
    </w:p>
    <w:p>
      <w:pPr>
        <w:pStyle w:val="Compact"/>
        <w:numPr>
          <w:ilvl w:val="0"/>
          <w:numId w:val="1010"/>
        </w:numPr>
      </w:pPr>
      <m:oMath>
        <m:r>
          <m:t>4.50</m:t>
        </m:r>
        <m:r>
          <m:rPr>
            <m:sty m:val="p"/>
          </m:rPr>
          <m:t>–</m:t>
        </m:r>
      </m:oMath>
      <w:r>
        <w:t xml:space="preserve">4.60 guidance reaffirmed</w:t>
      </w:r>
    </w:p>
    <w:p>
      <w:pPr>
        <w:pStyle w:val="Compact"/>
        <w:numPr>
          <w:ilvl w:val="0"/>
          <w:numId w:val="1010"/>
        </w:numPr>
      </w:pPr>
      <w:r>
        <w:t xml:space="preserve">OpenAI described as strategically important but primarily a post-2030 contributor</w:t>
      </w:r>
    </w:p>
    <w:p>
      <w:pPr>
        <w:pStyle w:val="Compact"/>
        <w:numPr>
          <w:ilvl w:val="0"/>
          <w:numId w:val="1010"/>
        </w:numPr>
      </w:pPr>
      <w:r>
        <w:t xml:space="preserve">Capital and financing plans remain unchanged</w:t>
      </w:r>
    </w:p>
    <w:p>
      <w:pPr>
        <w:pStyle w:val="Compact"/>
        <w:numPr>
          <w:ilvl w:val="0"/>
          <w:numId w:val="1010"/>
        </w:numPr>
      </w:pPr>
      <w:r>
        <w:t xml:space="preserve">Sales growth moderates from Q1 but remains healthy</w:t>
      </w:r>
    </w:p>
    <w:bookmarkEnd w:id="24"/>
    <w:bookmarkStart w:id="25" w:name="bearish-outcome"/>
    <w:p>
      <w:pPr>
        <w:pStyle w:val="Heading3"/>
      </w:pPr>
      <w:r>
        <w:t xml:space="preserve">Bearish outcome</w:t>
      </w:r>
    </w:p>
    <w:p>
      <w:pPr>
        <w:pStyle w:val="Compact"/>
        <w:numPr>
          <w:ilvl w:val="0"/>
          <w:numId w:val="1011"/>
        </w:numPr>
      </w:pPr>
      <w:r>
        <w:t xml:space="preserve">EPS below the company estimate because of O&amp;M, interest expense or weak sales</w:t>
      </w:r>
    </w:p>
    <w:p>
      <w:pPr>
        <w:pStyle w:val="Compact"/>
        <w:numPr>
          <w:ilvl w:val="0"/>
          <w:numId w:val="1011"/>
        </w:numPr>
      </w:pPr>
      <w:r>
        <w:t xml:space="preserve">Large-load projects move backward in the development funnel</w:t>
      </w:r>
    </w:p>
    <w:p>
      <w:pPr>
        <w:pStyle w:val="Compact"/>
        <w:numPr>
          <w:ilvl w:val="0"/>
          <w:numId w:val="1011"/>
        </w:numPr>
      </w:pPr>
      <w:r>
        <w:t xml:space="preserve">Customer energization or ramp schedules slip</w:t>
      </w:r>
    </w:p>
    <w:p>
      <w:pPr>
        <w:pStyle w:val="Compact"/>
        <w:numPr>
          <w:ilvl w:val="0"/>
          <w:numId w:val="1011"/>
        </w:numPr>
      </w:pPr>
      <w:r>
        <w:t xml:space="preserve">OpenAI or other projects require substantially more capital and equity than investors anticipated</w:t>
      </w:r>
    </w:p>
    <w:p>
      <w:pPr>
        <w:pStyle w:val="Compact"/>
        <w:numPr>
          <w:ilvl w:val="0"/>
          <w:numId w:val="1011"/>
        </w:numPr>
      </w:pPr>
      <w:r>
        <w:t xml:space="preserve">Regulatory or affordability concerns reduce confidence in cost recovery</w:t>
      </w:r>
    </w:p>
    <w:p>
      <w:pPr>
        <w:pStyle w:val="Compact"/>
        <w:numPr>
          <w:ilvl w:val="0"/>
          <w:numId w:val="1011"/>
        </w:numPr>
      </w:pPr>
      <w:r>
        <w:t xml:space="preserve">Delays emerge in the regulated generation or transmission buildout</w:t>
      </w:r>
    </w:p>
    <w:bookmarkEnd w:id="25"/>
    <w:bookmarkEnd w:id="26"/>
    <w:bookmarkStart w:id="27" w:name="bottom-line"/>
    <w:p>
      <w:pPr>
        <w:pStyle w:val="Heading2"/>
      </w:pPr>
      <w:r>
        <w:t xml:space="preserve">Bottom line</w:t>
      </w:r>
    </w:p>
    <w:p>
      <w:pPr>
        <w:pStyle w:val="FirstParagraph"/>
      </w:pPr>
      <w:r>
        <w:t xml:space="preserve">The setup is</w:t>
      </w:r>
      <w:r>
        <w:t xml:space="preserve"> </w:t>
      </w:r>
      <w:r>
        <w:rPr>
          <w:b/>
          <w:bCs/>
        </w:rPr>
        <w:t xml:space="preserve">constructive but the bar has risen</w:t>
      </w:r>
      <w:r>
        <w:t xml:space="preserve">. Southern has already enjoyed a meaningful rerating as investors embraced its transformation from a slow-growth dividend utility into one of the most visible beneficiaries of Southeastern electricity-demand growth.</w:t>
      </w:r>
    </w:p>
    <w:p>
      <w:pPr>
        <w:pStyle w:val="BodyText"/>
      </w:pPr>
      <w:r>
        <w:t xml:space="preserve">A one- or two-cent EPS beat would be welcome, but it is unlikely to determine the stock’s direction by itself. The market-moving information should be:</w:t>
      </w:r>
    </w:p>
    <w:p>
      <w:pPr>
        <w:pStyle w:val="Compact"/>
        <w:numPr>
          <w:ilvl w:val="0"/>
          <w:numId w:val="1012"/>
        </w:numPr>
      </w:pPr>
      <w:r>
        <w:t xml:space="preserve">The updated contracted and late-stage load totals</w:t>
      </w:r>
    </w:p>
    <w:p>
      <w:pPr>
        <w:pStyle w:val="Compact"/>
        <w:numPr>
          <w:ilvl w:val="0"/>
          <w:numId w:val="1012"/>
        </w:numPr>
      </w:pPr>
      <w:r>
        <w:t xml:space="preserve">How the 3.2 GW OpenAI project affects load, capital and generation forecasts</w:t>
      </w:r>
    </w:p>
    <w:p>
      <w:pPr>
        <w:pStyle w:val="Compact"/>
        <w:numPr>
          <w:ilvl w:val="0"/>
          <w:numId w:val="1012"/>
        </w:numPr>
      </w:pPr>
      <w:r>
        <w:t xml:space="preserve">Whether equity requirements remain contained</w:t>
      </w:r>
    </w:p>
    <w:p>
      <w:pPr>
        <w:pStyle w:val="Compact"/>
        <w:numPr>
          <w:ilvl w:val="0"/>
          <w:numId w:val="1012"/>
        </w:numPr>
      </w:pPr>
      <w:r>
        <w:t xml:space="preserve">Evidence that data-center growth continues to benefit rather than pressure existing customers</w:t>
      </w:r>
    </w:p>
    <w:p>
      <w:pPr>
        <w:pStyle w:val="Compact"/>
        <w:numPr>
          <w:ilvl w:val="0"/>
          <w:numId w:val="1012"/>
        </w:numPr>
      </w:pPr>
      <w:r>
        <w:t xml:space="preserve">Management’s confidence in the 2027–2028 earnings acceleration</w:t>
      </w:r>
    </w:p>
    <w:p>
      <w:pPr>
        <w:pStyle w:val="FirstParagraph"/>
      </w:pPr>
      <w:r>
        <w:t xml:space="preserve">The best outcome would be an otherwise uneventful quarter paired with a stronger, better-defined growth runway. The principal risk is that the size of the opportunity begins to create visible financing, execution or regulatory friction.</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s27.q4cdn.com/273397814/files/doc_financials/2026/q1/SO-2026-Q1-Earnings-Call-Final.pdf" TargetMode="External" /><Relationship Type="http://schemas.openxmlformats.org/officeDocument/2006/relationships/hyperlink" Id="rId9" Target="https://s27.q4cdn.com/273397814/files/doc_financials/2026/q1/SO-2026-Q1-Earnings-Call-Final.pdf?utm_source=openai" TargetMode="External" /><Relationship Type="http://schemas.openxmlformats.org/officeDocument/2006/relationships/hyperlink" Id="rId15" Target="https://southerncompany.mediaroom.com/2026-04-30-Southern-Company-reports-first-quarter-2026-earnings?utm_source=openai" TargetMode="External" /><Relationship Type="http://schemas.openxmlformats.org/officeDocument/2006/relationships/hyperlink" Id="rId19" Target="https://southerncompany.mediaroom.com/2026-07-15-Georgia-Power-reaffirms-longstanding-commitment-to-make-growth-work-for-customers-with-Customer-Protection-Pledge" TargetMode="External" /><Relationship Type="http://schemas.openxmlformats.org/officeDocument/2006/relationships/hyperlink" Id="rId10" Target="https://southerncompany.mediaroom.com/2026-07-22-Georgia-Power-to-serve-OpenAI-project-in-Effingham-County" TargetMode="External" /></Relationships>
</file>

<file path=word/_rels/footnotes.xml.rels><?xml version="1.0" encoding="UTF-8"?><Relationships xmlns="http://schemas.openxmlformats.org/package/2006/relationships"><Relationship Type="http://schemas.openxmlformats.org/officeDocument/2006/relationships/hyperlink" Id="rId13" Target="https://s27.q4cdn.com/273397814/files/doc_financials/2026/q1/SO-2026-Q1-Earnings-Call-Final.pdf" TargetMode="External" /><Relationship Type="http://schemas.openxmlformats.org/officeDocument/2006/relationships/hyperlink" Id="rId9" Target="https://s27.q4cdn.com/273397814/files/doc_financials/2026/q1/SO-2026-Q1-Earnings-Call-Final.pdf?utm_source=openai" TargetMode="External" /><Relationship Type="http://schemas.openxmlformats.org/officeDocument/2006/relationships/hyperlink" Id="rId15" Target="https://southerncompany.mediaroom.com/2026-04-30-Southern-Company-reports-first-quarter-2026-earnings?utm_source=openai" TargetMode="External" /><Relationship Type="http://schemas.openxmlformats.org/officeDocument/2006/relationships/hyperlink" Id="rId19" Target="https://southerncompany.mediaroom.com/2026-07-15-Georgia-Power-reaffirms-longstanding-commitment-to-make-growth-work-for-customers-with-Customer-Protection-Pledge" TargetMode="External" /><Relationship Type="http://schemas.openxmlformats.org/officeDocument/2006/relationships/hyperlink" Id="rId10" Target="https://southerncompany.mediaroom.com/2026-07-22-Georgia-Power-to-serve-OpenAI-project-in-Effingham-Coun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2026-07-29T19:11:34Z</dcterms:created>
  <dcterms:modified xsi:type="dcterms:W3CDTF">2026-07-29T19:11:34Z</dcterms:modified>
</cp:coreProperties>
</file>

<file path=docProps/custom.xml><?xml version="1.0" encoding="utf-8"?>
<Properties xmlns="http://schemas.openxmlformats.org/officeDocument/2006/custom-properties" xmlns:vt="http://schemas.openxmlformats.org/officeDocument/2006/docPropsVTypes"/>
</file>