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570520597d0c4afbce2c9e4d2d394a48fa086cc"/>
    <w:p>
      <w:pPr>
        <w:pStyle w:val="Heading1"/>
      </w:pPr>
      <w:r>
        <w:t xml:space="preserve">Southern Company (NYSE: SO) — 2Q26 Earnings Preview</w:t>
      </w:r>
    </w:p>
    <w:p>
      <w:pPr>
        <w:pStyle w:val="FirstParagraph"/>
      </w:pPr>
      <w:r>
        <w:rPr>
          <w:b/>
          <w:bCs/>
        </w:rPr>
        <w:t xml:space="preserve">Report date:</w:t>
      </w:r>
      <w:r>
        <w:t xml:space="preserve"> </w:t>
      </w:r>
      <w:r>
        <w:t xml:space="preserve">Thursday, July 30, 2026</w:t>
      </w:r>
      <w:r>
        <w:br/>
      </w:r>
      <w:r>
        <w:rPr>
          <w:b/>
          <w:bCs/>
        </w:rPr>
        <w:t xml:space="preserve">Event:</w:t>
      </w:r>
      <w:r>
        <w:t xml:space="preserve"> </w:t>
      </w:r>
      <w:r>
        <w:t xml:space="preserve">2026Q2 Earnings Call</w:t>
      </w:r>
    </w:p>
    <w:bookmarkStart w:id="9" w:name="bottom-line"/>
    <w:p>
      <w:pPr>
        <w:pStyle w:val="Heading2"/>
      </w:pPr>
      <w:r>
        <w:t xml:space="preserve">Bottom line</w:t>
      </w:r>
    </w:p>
    <w:p>
      <w:pPr>
        <w:pStyle w:val="FirstParagraph"/>
      </w:pPr>
      <w:r>
        <w:t xml:space="preserve">Southern heads into 2Q with the core investment case intact: unusually visible Southeast load growth, a large regulated capital program, and contract structures intended to make data-center-driven growth accretive to both earnings and customer affordability. The quarter itself is likely less important than management’s update on the</w:t>
      </w:r>
      <w:r>
        <w:t xml:space="preserve"> </w:t>
      </w:r>
      <w:r>
        <w:rPr>
          <w:i/>
          <w:iCs/>
        </w:rPr>
        <w:t xml:space="preserve">conversion</w:t>
      </w:r>
      <w:r>
        <w:t xml:space="preserve"> </w:t>
      </w:r>
      <w:r>
        <w:t xml:space="preserve">of that opportunity—large-load contracting, generation procurement, capital-plan upside, and financing discipline.</w:t>
      </w:r>
    </w:p>
    <w:p>
      <w:pPr>
        <w:pStyle w:val="BodyText"/>
      </w:pPr>
      <w:r>
        <w:t xml:space="preserve">Management’s prior</w:t>
      </w:r>
      <w:r>
        <w:t xml:space="preserve"> </w:t>
      </w:r>
      <w:r>
        <w:rPr>
          <w:b/>
          <w:bCs/>
        </w:rPr>
        <w:t xml:space="preserve">2Q26 adjusted-EPS estimate is</w:t>
      </w:r>
      <w:r>
        <w:rPr>
          <w:b/>
          <w:bCs/>
        </w:rPr>
        <w:t xml:space="preserve"> </w:t>
      </w:r>
      <m:oMath>
        <m:r>
          <m:t>1.00</m:t>
        </m:r>
        <m:r>
          <m:rPr>
            <m:sty m:val="p"/>
          </m:rPr>
          <m:t>*</m:t>
        </m:r>
        <m:r>
          <m:rPr>
            <m:sty m:val="p"/>
          </m:rPr>
          <m:t>*</m:t>
        </m:r>
        <m:r>
          <m:rPr>
            <m:sty m:val="p"/>
          </m:rPr>
          <m:t>,</m:t>
        </m:r>
        <m:r>
          <m:t>v</m:t>
        </m:r>
        <m:r>
          <m:t>e</m:t>
        </m:r>
        <m:r>
          <m:t>r</m:t>
        </m:r>
        <m:r>
          <m:t>s</m:t>
        </m:r>
        <m:r>
          <m:t>u</m:t>
        </m:r>
        <m:r>
          <m:t>s</m:t>
        </m:r>
        <m:r>
          <m:rPr>
            <m:sty m:val="p"/>
          </m:rPr>
          <m:t>*</m:t>
        </m:r>
        <m:r>
          <m:rPr>
            <m:sty m:val="p"/>
          </m:rPr>
          <m:t>*</m:t>
        </m:r>
      </m:oMath>
      <w:r>
        <w:rPr>
          <w:b/>
          <w:bCs/>
        </w:rPr>
        <w:t xml:space="preserve">0.92 adjusted EPS in 2Q25</w:t>
      </w:r>
      <w:r>
        <w:t xml:space="preserve">. That implies roughly 9% year-over-year growth, slightly above the company’s 2026 guide framework of</w:t>
      </w:r>
      <w:r>
        <w:t xml:space="preserve"> </w:t>
      </w:r>
      <m:oMath>
        <m:r>
          <m:t>4.50</m:t>
        </m:r>
        <m:r>
          <m:rPr>
            <m:sty m:val="p"/>
          </m:rPr>
          <m:t>–</m:t>
        </m:r>
      </m:oMath>
      <w:r>
        <w:rPr>
          <w:b/>
          <w:bCs/>
        </w:rPr>
        <w:t xml:space="preserve">4.60</w:t>
      </w:r>
      <w:r>
        <w:t xml:space="preserve"> </w:t>
      </w:r>
      <w:r>
        <w:t xml:space="preserve">and its 2026–28 adjusted-EPS growth outlook of</w:t>
      </w:r>
      <w:r>
        <w:t xml:space="preserve"> </w:t>
      </w:r>
      <w:r>
        <w:rPr>
          <w:b/>
          <w:bCs/>
        </w:rPr>
        <w:t xml:space="preserve">8%–9%</w:t>
      </w:r>
      <w:r>
        <w:t xml:space="preserve">. The setup therefore looks constructive, but expectations are not low: investors will likely require evidence that the company can turn its large demand pipeline into signed, creditworthy contracts and approved capital deployment without creating customer-affordability, regulatory, or equity-financing friction.</w:t>
      </w:r>
    </w:p>
    <w:bookmarkEnd w:id="9"/>
    <w:bookmarkStart w:id="13" w:name="what-matters-most-this-quarter"/>
    <w:p>
      <w:pPr>
        <w:pStyle w:val="Heading2"/>
      </w:pPr>
      <w:r>
        <w:t xml:space="preserve">What matters most this quarter</w:t>
      </w:r>
    </w:p>
    <w:bookmarkStart w:id="10" w:name="Xdefd89f9cf7e5ce75aad557db4603e83542b52f"/>
    <w:p>
      <w:pPr>
        <w:pStyle w:val="Heading3"/>
      </w:pPr>
      <w:r>
        <w:t xml:space="preserve">1. Load growth must remain tangible—not merely a long-dated pipeline story</w:t>
      </w:r>
    </w:p>
    <w:p>
      <w:pPr>
        <w:pStyle w:val="FirstParagraph"/>
      </w:pPr>
      <w:r>
        <w:t xml:space="preserve">At 1Q26, Southern reported:</w:t>
      </w:r>
    </w:p>
    <w:p>
      <w:pPr>
        <w:pStyle w:val="Compact"/>
        <w:numPr>
          <w:ilvl w:val="0"/>
          <w:numId w:val="1001"/>
        </w:numPr>
      </w:pPr>
      <w:r>
        <w:rPr>
          <w:b/>
          <w:bCs/>
        </w:rPr>
        <w:t xml:space="preserve">23 GW</w:t>
      </w:r>
      <w:r>
        <w:t xml:space="preserve"> </w:t>
      </w:r>
      <w:r>
        <w:t xml:space="preserve">of contracted or late-stage large-load demand across its electric subsidiaries.</w:t>
      </w:r>
    </w:p>
    <w:p>
      <w:pPr>
        <w:pStyle w:val="Compact"/>
        <w:numPr>
          <w:ilvl w:val="0"/>
          <w:numId w:val="1001"/>
        </w:numPr>
      </w:pPr>
      <w:r>
        <w:t xml:space="preserve">More than</w:t>
      </w:r>
      <w:r>
        <w:t xml:space="preserve"> </w:t>
      </w:r>
      <w:r>
        <w:rPr>
          <w:b/>
          <w:bCs/>
        </w:rPr>
        <w:t xml:space="preserve">11 GW of fully contracted large-load agreements</w:t>
      </w:r>
      <w:r>
        <w:t xml:space="preserve">, following 1.9 GW of newly signed hyperscaler contracts during the first two months of 2Q.</w:t>
      </w:r>
    </w:p>
    <w:p>
      <w:pPr>
        <w:pStyle w:val="Compact"/>
        <w:numPr>
          <w:ilvl w:val="0"/>
          <w:numId w:val="1001"/>
        </w:numPr>
      </w:pPr>
      <w:r>
        <w:t xml:space="preserve">Another</w:t>
      </w:r>
      <w:r>
        <w:t xml:space="preserve"> </w:t>
      </w:r>
      <w:r>
        <w:rPr>
          <w:b/>
          <w:bCs/>
        </w:rPr>
        <w:t xml:space="preserve">12 GW in late-stage discussions</w:t>
      </w:r>
      <w:r>
        <w:t xml:space="preserve"> </w:t>
      </w:r>
      <w:r>
        <w:t xml:space="preserve">through the mid-2030s, including roughly 6 GW expected to move toward contracts in the near term.</w:t>
      </w:r>
    </w:p>
    <w:p>
      <w:pPr>
        <w:pStyle w:val="Compact"/>
        <w:numPr>
          <w:ilvl w:val="0"/>
          <w:numId w:val="1001"/>
        </w:numPr>
      </w:pPr>
      <w:r>
        <w:t xml:space="preserve">A prospective pipeline of more than</w:t>
      </w:r>
      <w:r>
        <w:t xml:space="preserve"> </w:t>
      </w:r>
      <w:r>
        <w:rPr>
          <w:b/>
          <w:bCs/>
        </w:rPr>
        <w:t xml:space="preserve">75 GW</w:t>
      </w:r>
      <w:r>
        <w:t xml:space="preserve">.</w:t>
      </w:r>
    </w:p>
    <w:p>
      <w:pPr>
        <w:pStyle w:val="FirstParagraph"/>
      </w:pPr>
      <w:r>
        <w:t xml:space="preserve">The important distinction for the call will be between pipeline volume and contractual progress. Investors should focus on new signed GW, contracted ramp schedules, collateral and minimum-bill protections, and whether the geographic mix continues shifting toward Alabama and Mississippi while Georgia’s funnel is refined.</w:t>
      </w:r>
    </w:p>
    <w:p>
      <w:pPr>
        <w:pStyle w:val="BodyText"/>
      </w:pPr>
      <w:r>
        <w:rPr>
          <w:b/>
          <w:bCs/>
        </w:rPr>
        <w:t xml:space="preserve">Why it matters:</w:t>
      </w:r>
      <w:r>
        <w:t xml:space="preserve"> </w:t>
      </w:r>
      <w:r>
        <w:t xml:space="preserve">Southern’s long-term guidance assumes a disciplined, risk-adjusted load forecast rather than all announced prospective demand. More signed load and faster usage ramps can extend the duration of the current growth outlook; slippage in contracted energization dates, by contrast, would raise questions about the timing of revenue, generation needs, and future CapEx.</w:t>
      </w:r>
    </w:p>
    <w:bookmarkEnd w:id="10"/>
    <w:bookmarkStart w:id="11" w:name="X3f4376e9b20f1f6b8a27325f4480c30a38d5795"/>
    <w:p>
      <w:pPr>
        <w:pStyle w:val="Heading3"/>
      </w:pPr>
      <w:r>
        <w:t xml:space="preserve">2. Retail sales and data-center usage are the clearest near-term operating indicators</w:t>
      </w:r>
    </w:p>
    <w:p>
      <w:pPr>
        <w:pStyle w:val="FirstParagraph"/>
      </w:pPr>
      <w:r>
        <w:t xml:space="preserve">1Q weather-normalized retail sales grew</w:t>
      </w:r>
      <w:r>
        <w:t xml:space="preserve"> </w:t>
      </w:r>
      <w:r>
        <w:rPr>
          <w:b/>
          <w:bCs/>
        </w:rPr>
        <w:t xml:space="preserve">2.3%</w:t>
      </w:r>
      <w:r>
        <w:t xml:space="preserve">, led by</w:t>
      </w:r>
      <w:r>
        <w:t xml:space="preserve"> </w:t>
      </w:r>
      <w:r>
        <w:rPr>
          <w:b/>
          <w:bCs/>
        </w:rPr>
        <w:t xml:space="preserve">4.6% commercial growth</w:t>
      </w:r>
      <w:r>
        <w:t xml:space="preserve"> </w:t>
      </w:r>
      <w:r>
        <w:t xml:space="preserve">and data-center usage growth of</w:t>
      </w:r>
      <w:r>
        <w:t xml:space="preserve"> </w:t>
      </w:r>
      <w:r>
        <w:rPr>
          <w:b/>
          <w:bCs/>
        </w:rPr>
        <w:t xml:space="preserve">42% year over year</w:t>
      </w:r>
      <w:r>
        <w:t xml:space="preserve">. Industrial sales increased</w:t>
      </w:r>
      <w:r>
        <w:t xml:space="preserve"> </w:t>
      </w:r>
      <w:r>
        <w:rPr>
          <w:b/>
          <w:bCs/>
        </w:rPr>
        <w:t xml:space="preserve">1.5%</w:t>
      </w:r>
      <w:r>
        <w:t xml:space="preserve">, while customer growth remained healthy.</w:t>
      </w:r>
    </w:p>
    <w:p>
      <w:pPr>
        <w:pStyle w:val="BodyText"/>
      </w:pPr>
      <w:r>
        <w:t xml:space="preserve">For 2Q, watch:</w:t>
      </w:r>
    </w:p>
    <w:p>
      <w:pPr>
        <w:pStyle w:val="Compact"/>
        <w:numPr>
          <w:ilvl w:val="0"/>
          <w:numId w:val="1002"/>
        </w:numPr>
      </w:pPr>
      <w:r>
        <w:t xml:space="preserve">Weather-normalized total retail-sales growth;</w:t>
      </w:r>
    </w:p>
    <w:p>
      <w:pPr>
        <w:pStyle w:val="Compact"/>
        <w:numPr>
          <w:ilvl w:val="0"/>
          <w:numId w:val="1002"/>
        </w:numPr>
      </w:pPr>
      <w:r>
        <w:t xml:space="preserve">Commercial sales growth and disclosed data-center usage/ramp trends;</w:t>
      </w:r>
    </w:p>
    <w:p>
      <w:pPr>
        <w:pStyle w:val="Compact"/>
        <w:numPr>
          <w:ilvl w:val="0"/>
          <w:numId w:val="1002"/>
        </w:numPr>
      </w:pPr>
      <w:r>
        <w:t xml:space="preserve">Industrial demand, particularly Alabama manufacturing activity;</w:t>
      </w:r>
    </w:p>
    <w:p>
      <w:pPr>
        <w:pStyle w:val="Compact"/>
        <w:numPr>
          <w:ilvl w:val="0"/>
          <w:numId w:val="1002"/>
        </w:numPr>
      </w:pPr>
      <w:r>
        <w:t xml:space="preserve">Residential customer additions;</w:t>
      </w:r>
    </w:p>
    <w:p>
      <w:pPr>
        <w:pStyle w:val="Compact"/>
        <w:numPr>
          <w:ilvl w:val="0"/>
          <w:numId w:val="1002"/>
        </w:numPr>
      </w:pPr>
      <w:r>
        <w:t xml:space="preserve">Any indication that large-load demand is arriving sooner—or later—than embedded in the plan.</w:t>
      </w:r>
    </w:p>
    <w:p>
      <w:pPr>
        <w:pStyle w:val="FirstParagraph"/>
      </w:pPr>
      <w:r>
        <w:t xml:space="preserve">The 2Q comparison is favorable in the sense that 2Q25 was a relatively soft quarter: adjusted EPS was $0.92, with mild weather and higher O&amp;M, depreciation, interest expense, and taxes weighing on results. However, Southern’s own $1.00 estimate sets a clear bar.</w:t>
      </w:r>
    </w:p>
    <w:bookmarkEnd w:id="11"/>
    <w:bookmarkStart w:id="12" w:name="X9639dcdbe14694775cb0b1b3a574dc364f6b2bb"/>
    <w:p>
      <w:pPr>
        <w:pStyle w:val="Heading3"/>
      </w:pPr>
      <w:r>
        <w:t xml:space="preserve">3. Guidance reaffirmation is the base case; the quality of the reaffirmation is more important</w:t>
      </w:r>
    </w:p>
    <w:p>
      <w:pPr>
        <w:pStyle w:val="FirstParagraph"/>
      </w:pPr>
      <w:r>
        <w:t xml:space="preserve">Southern’s current outlook calls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outlook</w:t>
            </w:r>
          </w:p>
        </w:tc>
      </w:tr>
      <w:tr>
        <w:tc>
          <w:tcPr/>
          <w:p>
            <w:pPr>
              <w:pStyle w:val="Compact"/>
            </w:pPr>
            <w:r>
              <w:t xml:space="preserve">2026 adjusted EPS</w:t>
            </w:r>
          </w:p>
        </w:tc>
        <w:tc>
          <w:tcPr/>
          <w:p>
            <w:pPr>
              <w:pStyle w:val="Compact"/>
              <w:jc w:val="right"/>
            </w:pPr>
            <m:oMath>
              <m:r>
                <m:t>4.50</m:t>
              </m:r>
              <m:r>
                <m:rPr>
                  <m:sty m:val="p"/>
                </m:rPr>
                <m:t>–</m:t>
              </m:r>
            </m:oMath>
            <w:r>
              <w:rPr>
                <w:b/>
                <w:bCs/>
              </w:rPr>
              <w:t xml:space="preserve">4.60</w:t>
            </w:r>
          </w:p>
        </w:tc>
      </w:tr>
      <w:tr>
        <w:tc>
          <w:tcPr/>
          <w:p>
            <w:pPr>
              <w:pStyle w:val="Compact"/>
            </w:pPr>
            <w:r>
              <w:t xml:space="preserve">2027 adjusted EPS</w:t>
            </w:r>
          </w:p>
        </w:tc>
        <w:tc>
          <w:tcPr/>
          <w:p>
            <w:pPr>
              <w:pStyle w:val="Compact"/>
              <w:jc w:val="right"/>
            </w:pPr>
            <m:oMath>
              <m:r>
                <m:t>4.85</m:t>
              </m:r>
              <m:r>
                <m:rPr>
                  <m:sty m:val="p"/>
                </m:rPr>
                <m:t>–</m:t>
              </m:r>
            </m:oMath>
            <w:r>
              <w:rPr>
                <w:b/>
                <w:bCs/>
              </w:rPr>
              <w:t xml:space="preserve">4.95</w:t>
            </w:r>
          </w:p>
        </w:tc>
      </w:tr>
      <w:tr>
        <w:tc>
          <w:tcPr/>
          <w:p>
            <w:pPr>
              <w:pStyle w:val="Compact"/>
            </w:pPr>
            <w:r>
              <w:t xml:space="preserve">2028 adjusted EPS</w:t>
            </w:r>
          </w:p>
        </w:tc>
        <w:tc>
          <w:tcPr/>
          <w:p>
            <w:pPr>
              <w:pStyle w:val="Compact"/>
              <w:jc w:val="right"/>
            </w:pPr>
            <m:oMath>
              <m:r>
                <m:t>5.25</m:t>
              </m:r>
              <m:r>
                <m:rPr>
                  <m:sty m:val="p"/>
                </m:rPr>
                <m:t>–</m:t>
              </m:r>
            </m:oMath>
            <w:r>
              <w:rPr>
                <w:b/>
                <w:bCs/>
              </w:rPr>
              <w:t xml:space="preserve">5.45</w:t>
            </w:r>
          </w:p>
        </w:tc>
      </w:tr>
      <w:tr>
        <w:tc>
          <w:tcPr/>
          <w:p>
            <w:pPr>
              <w:pStyle w:val="Compact"/>
            </w:pPr>
            <w:r>
              <w:t xml:space="preserve">2026–28 adjusted EPS growth</w:t>
            </w:r>
          </w:p>
        </w:tc>
        <w:tc>
          <w:tcPr/>
          <w:p>
            <w:pPr>
              <w:pStyle w:val="Compact"/>
              <w:jc w:val="right"/>
            </w:pPr>
            <w:r>
              <w:rPr>
                <w:b/>
                <w:bCs/>
              </w:rPr>
              <w:t xml:space="preserve">8%–9% annually</w:t>
            </w:r>
          </w:p>
        </w:tc>
      </w:tr>
      <w:tr>
        <w:tc>
          <w:tcPr/>
          <w:p>
            <w:pPr>
              <w:pStyle w:val="Compact"/>
            </w:pPr>
            <w:r>
              <w:t xml:space="preserve">Longer-term adjusted EPS growth</w:t>
            </w:r>
          </w:p>
        </w:tc>
        <w:tc>
          <w:tcPr/>
          <w:p>
            <w:pPr>
              <w:pStyle w:val="Compact"/>
              <w:jc w:val="right"/>
            </w:pPr>
            <w:r>
              <w:rPr>
                <w:b/>
                <w:bCs/>
              </w:rPr>
              <w:t xml:space="preserve">~7%–8%</w:t>
            </w:r>
          </w:p>
        </w:tc>
      </w:tr>
      <w:tr>
        <w:tc>
          <w:tcPr/>
          <w:p>
            <w:pPr>
              <w:pStyle w:val="Compact"/>
            </w:pPr>
            <w:r>
              <w:t xml:space="preserve">Five-year base CapEx plan</w:t>
            </w:r>
          </w:p>
        </w:tc>
        <w:tc>
          <w:tcPr/>
          <w:p>
            <w:pPr>
              <w:pStyle w:val="Compact"/>
              <w:jc w:val="right"/>
            </w:pPr>
            <w:r>
              <w:rPr>
                <w:b/>
                <w:bCs/>
              </w:rPr>
              <w:t xml:space="preserve">$81 billion</w:t>
            </w:r>
          </w:p>
        </w:tc>
      </w:tr>
      <w:tr>
        <w:tc>
          <w:tcPr/>
          <w:p>
            <w:pPr>
              <w:pStyle w:val="Compact"/>
            </w:pPr>
            <w:r>
              <w:t xml:space="preserve">State-regulated rate-base growth</w:t>
            </w:r>
          </w:p>
        </w:tc>
        <w:tc>
          <w:tcPr/>
          <w:p>
            <w:pPr>
              <w:pStyle w:val="Compact"/>
              <w:jc w:val="right"/>
            </w:pPr>
            <w:r>
              <w:rPr>
                <w:b/>
                <w:bCs/>
              </w:rPr>
              <w:t xml:space="preserve">~9% annually</w:t>
            </w:r>
          </w:p>
        </w:tc>
      </w:tr>
    </w:tbl>
    <w:p>
      <w:pPr>
        <w:pStyle w:val="BodyText"/>
      </w:pPr>
      <w:r>
        <w:t xml:space="preserve">The key question is whether management again characterizes execution as tracking toward the upper end of guidance. In 1Q, adjusted EPS of $1.32 exceeded its $1.20 estimate by $0.12, and management emphasized that it was “in line” with its plan on load visibility.</w:t>
      </w:r>
    </w:p>
    <w:p>
      <w:pPr>
        <w:pStyle w:val="BodyText"/>
      </w:pPr>
      <w:r>
        <w:t xml:space="preserve">A simple reiteration of guidance should be viewed as acceptable. A stronger outcome would include raised confidence in the upper half of the range, better-than-expected sales/load-ramp commentary, or incremental capital opportunities that extend the growth runway beyond 2030. Conversely, a reaffirmation paired with softer customer ramps, higher supply-chain costs, or more financing needs would likely be received less favorably.</w:t>
      </w:r>
    </w:p>
    <w:bookmarkEnd w:id="12"/>
    <w:bookmarkEnd w:id="13"/>
    <w:bookmarkStart w:id="16" w:name="X9c1c37104839c3fad71c893c6a2f56ffdfed9f9"/>
    <w:p>
      <w:pPr>
        <w:pStyle w:val="Heading2"/>
      </w:pPr>
      <w:r>
        <w:t xml:space="preserve">The capital-growth opportunity: substantial, but still conditional</w:t>
      </w:r>
    </w:p>
    <w:p>
      <w:pPr>
        <w:pStyle w:val="FirstParagraph"/>
      </w:pPr>
      <w:r>
        <w:t xml:space="preserve">Southern’s</w:t>
      </w:r>
      <w:r>
        <w:t xml:space="preserve"> </w:t>
      </w:r>
      <w:r>
        <w:rPr>
          <w:b/>
          <w:bCs/>
        </w:rPr>
        <w:t xml:space="preserve">$81 billion</w:t>
      </w:r>
      <w:r>
        <w:t xml:space="preserve"> </w:t>
      </w:r>
      <w:r>
        <w:t xml:space="preserve">base capital plan is already sizable, and approximately 95% is at regulated utilities. Importantly, the company has excluded capital not yet supported by a sufficiently advanced regulatory process. That leaves meaningful potential upside—but it is not automatic.</w:t>
      </w:r>
    </w:p>
    <w:bookmarkStart w:id="14" w:name="nearer-term-projects-and-procurement"/>
    <w:p>
      <w:pPr>
        <w:pStyle w:val="Heading3"/>
      </w:pPr>
      <w:r>
        <w:t xml:space="preserve">Nearer-term projects and procurement</w:t>
      </w:r>
    </w:p>
    <w:p>
      <w:pPr>
        <w:pStyle w:val="FirstParagraph"/>
      </w:pPr>
      <w:r>
        <w:t xml:space="preserve">Georgia Power has a</w:t>
      </w:r>
      <w:r>
        <w:t xml:space="preserve"> </w:t>
      </w:r>
      <w:r>
        <w:rPr>
          <w:b/>
          <w:bCs/>
        </w:rPr>
        <w:t xml:space="preserve">10 GW approved generation-resource portfolio</w:t>
      </w:r>
      <w:r>
        <w:t xml:space="preserve"> </w:t>
      </w:r>
      <w:r>
        <w:t xml:space="preserve">under development, including batteries and natural-gas combustion turbines expected to enter service during 2026–27. Georgia Power also launched an all-source RFP for</w:t>
      </w:r>
      <w:r>
        <w:t xml:space="preserve"> </w:t>
      </w:r>
      <w:r>
        <w:rPr>
          <w:b/>
          <w:bCs/>
        </w:rPr>
        <w:t xml:space="preserve">2–6 GW</w:t>
      </w:r>
      <w:r>
        <w:t xml:space="preserve"> </w:t>
      </w:r>
      <w:r>
        <w:t xml:space="preserve">of dispatchable resources with 2032–33 in-service dates.</w:t>
      </w:r>
    </w:p>
    <w:p>
      <w:pPr>
        <w:pStyle w:val="BodyText"/>
      </w:pPr>
      <w:r>
        <w:t xml:space="preserve">Management has suggested that a rough rule of thumb for company-owned incremental generation is approximately</w:t>
      </w:r>
      <w:r>
        <w:t xml:space="preserve"> </w:t>
      </w:r>
      <w:r>
        <w:rPr>
          <w:b/>
          <w:bCs/>
        </w:rPr>
        <w:t xml:space="preserve">$2 billion-plus per GW</w:t>
      </w:r>
      <w:r>
        <w:t xml:space="preserve"> </w:t>
      </w:r>
      <w:r>
        <w:t xml:space="preserve">of future CapEx. The Georgia RFP selection process is expected to run through late 2026, with certification extending through 2027; that means a significant capital-plan revision is unlikely to be fully crystallized in this quarter, but investors will want updates on bidder interest, equipment availability, potential company-owned resource participation, and the timeline for regulatory visibility.</w:t>
      </w:r>
    </w:p>
    <w:bookmarkEnd w:id="14"/>
    <w:bookmarkStart w:id="15" w:name="X3a7503d8b67d25dde81c0e33c68cd6279d855ee"/>
    <w:p>
      <w:pPr>
        <w:pStyle w:val="Heading3"/>
      </w:pPr>
      <w:r>
        <w:t xml:space="preserve">Southern Power is a potential upside lever</w:t>
      </w:r>
    </w:p>
    <w:p>
      <w:pPr>
        <w:pStyle w:val="FirstParagraph"/>
      </w:pPr>
      <w:r>
        <w:t xml:space="preserve">Southern Power has a separate opportunity set:</w:t>
      </w:r>
    </w:p>
    <w:p>
      <w:pPr>
        <w:pStyle w:val="Compact"/>
        <w:numPr>
          <w:ilvl w:val="0"/>
          <w:numId w:val="1003"/>
        </w:numPr>
      </w:pPr>
      <w:r>
        <w:rPr>
          <w:b/>
          <w:bCs/>
        </w:rPr>
        <w:t xml:space="preserve">400 MW</w:t>
      </w:r>
      <w:r>
        <w:t xml:space="preserve"> </w:t>
      </w:r>
      <w:r>
        <w:t xml:space="preserve">of announced natural-gas turbine uprates, expected to add approximately</w:t>
      </w:r>
      <w:r>
        <w:t xml:space="preserve"> </w:t>
      </w:r>
      <w:r>
        <w:rPr>
          <w:b/>
          <w:bCs/>
        </w:rPr>
        <w:t xml:space="preserve">$700 million</w:t>
      </w:r>
      <w:r>
        <w:t xml:space="preserve"> </w:t>
      </w:r>
      <w:r>
        <w:t xml:space="preserve">to capital spending, with operations projected between 2029 and 2031;</w:t>
      </w:r>
    </w:p>
    <w:p>
      <w:pPr>
        <w:pStyle w:val="Compact"/>
        <w:numPr>
          <w:ilvl w:val="0"/>
          <w:numId w:val="1003"/>
        </w:numPr>
      </w:pPr>
      <w:r>
        <w:t xml:space="preserve">Evaluation of another</w:t>
      </w:r>
      <w:r>
        <w:t xml:space="preserve"> </w:t>
      </w:r>
      <w:r>
        <w:rPr>
          <w:b/>
          <w:bCs/>
        </w:rPr>
        <w:t xml:space="preserve">300 MW</w:t>
      </w:r>
      <w:r>
        <w:t xml:space="preserve"> </w:t>
      </w:r>
      <w:r>
        <w:t xml:space="preserve">of uprates;</w:t>
      </w:r>
    </w:p>
    <w:p>
      <w:pPr>
        <w:pStyle w:val="Compact"/>
        <w:numPr>
          <w:ilvl w:val="0"/>
          <w:numId w:val="1003"/>
        </w:numPr>
      </w:pPr>
      <w:r>
        <w:t xml:space="preserve">Recontracting opportunities for existing gas assets as legacy contracts roll off; and</w:t>
      </w:r>
    </w:p>
    <w:p>
      <w:pPr>
        <w:pStyle w:val="Compact"/>
        <w:numPr>
          <w:ilvl w:val="0"/>
          <w:numId w:val="1003"/>
        </w:numPr>
      </w:pPr>
      <w:r>
        <w:t xml:space="preserve">Potential brownfield or new-generation development, provided it is supported by long-term contracts with creditworthy counterparties.</w:t>
      </w:r>
    </w:p>
    <w:p>
      <w:pPr>
        <w:pStyle w:val="FirstParagraph"/>
      </w:pPr>
      <w:r>
        <w:t xml:space="preserve">The company has emphasized that Southern Power will not take merchant risk. Thus, the relevant 2Q questions are whether the 400 MW uprates have advanced to finalized contracts, how much incremental capacity has identifiable counterparties, and whether management has greater visibility on brownfield development later in the decade.</w:t>
      </w:r>
    </w:p>
    <w:bookmarkEnd w:id="15"/>
    <w:bookmarkEnd w:id="16"/>
    <w:bookmarkStart w:id="17" w:name="Xbf68d0fca4c68ab60699dcfdf0cbdd4e5d642fd"/>
    <w:p>
      <w:pPr>
        <w:pStyle w:val="Heading2"/>
      </w:pPr>
      <w:r>
        <w:t xml:space="preserve">Regulatory and affordability: a feature of the thesis, but also the principal political risk</w:t>
      </w:r>
    </w:p>
    <w:p>
      <w:pPr>
        <w:pStyle w:val="FirstParagraph"/>
      </w:pPr>
      <w:r>
        <w:t xml:space="preserve">Southern’s differentiator is its claim that large-load contracts are designed to recover the</w:t>
      </w:r>
      <w:r>
        <w:t xml:space="preserve"> </w:t>
      </w:r>
      <w:r>
        <w:rPr>
          <w:b/>
          <w:bCs/>
        </w:rPr>
        <w:t xml:space="preserve">full cost to serve</w:t>
      </w:r>
      <w:r>
        <w:t xml:space="preserve">, not just marginal energy costs. The contracts include minimum bills, collateral requirements, termination payments, and long terms—generally 15 years or more for data centers. Management argues that these provisions allow large-load growth to support rate stability and even lower bills for legacy customers.</w:t>
      </w:r>
    </w:p>
    <w:p>
      <w:pPr>
        <w:pStyle w:val="BodyText"/>
      </w:pPr>
      <w:r>
        <w:t xml:space="preserve">This framing supports:</w:t>
      </w:r>
    </w:p>
    <w:p>
      <w:pPr>
        <w:pStyle w:val="Compact"/>
        <w:numPr>
          <w:ilvl w:val="0"/>
          <w:numId w:val="1004"/>
        </w:numPr>
      </w:pPr>
      <w:r>
        <w:t xml:space="preserve">Base-rate stability in</w:t>
      </w:r>
      <w:r>
        <w:t xml:space="preserve"> </w:t>
      </w:r>
      <w:r>
        <w:rPr>
          <w:b/>
          <w:bCs/>
        </w:rPr>
        <w:t xml:space="preserve">Georgia through at least 2028</w:t>
      </w:r>
      <w:r>
        <w:t xml:space="preserve"> </w:t>
      </w:r>
      <w:r>
        <w:t xml:space="preserve">and</w:t>
      </w:r>
      <w:r>
        <w:t xml:space="preserve"> </w:t>
      </w:r>
      <w:r>
        <w:rPr>
          <w:b/>
          <w:bCs/>
        </w:rPr>
        <w:t xml:space="preserve">Alabama through at least 2029</w:t>
      </w:r>
      <w:r>
        <w:t xml:space="preserve">;</w:t>
      </w:r>
    </w:p>
    <w:p>
      <w:pPr>
        <w:pStyle w:val="Compact"/>
        <w:numPr>
          <w:ilvl w:val="0"/>
          <w:numId w:val="1004"/>
        </w:numPr>
      </w:pPr>
      <w:r>
        <w:t xml:space="preserve">Potential customer bill benefits tied to Georgia fuel and storm-cost recovery actions;</w:t>
      </w:r>
    </w:p>
    <w:p>
      <w:pPr>
        <w:pStyle w:val="Compact"/>
        <w:numPr>
          <w:ilvl w:val="0"/>
          <w:numId w:val="1004"/>
        </w:numPr>
      </w:pPr>
      <w:r>
        <w:t xml:space="preserve">A stated</w:t>
      </w:r>
      <w:r>
        <w:t xml:space="preserve"> </w:t>
      </w:r>
      <w:r>
        <w:rPr>
          <w:b/>
          <w:bCs/>
        </w:rPr>
        <w:t xml:space="preserve">$1.7 billion</w:t>
      </w:r>
      <w:r>
        <w:t xml:space="preserve"> </w:t>
      </w:r>
      <w:r>
        <w:t xml:space="preserve">of benefits to Georgia Power’s existing customers during 2029–31, linked to its large-load contracting approach; and</w:t>
      </w:r>
    </w:p>
    <w:p>
      <w:pPr>
        <w:pStyle w:val="Compact"/>
        <w:numPr>
          <w:ilvl w:val="0"/>
          <w:numId w:val="1004"/>
        </w:numPr>
      </w:pPr>
      <w:r>
        <w:t xml:space="preserve">Better political and regulatory alignment than a model in which residential customers subsidize incremental data-center infrastructure.</w:t>
      </w:r>
    </w:p>
    <w:p>
      <w:pPr>
        <w:pStyle w:val="FirstParagraph"/>
      </w:pPr>
      <w:r>
        <w:t xml:space="preserve">Still, affordability will remain a key issue. The company should be pressed on whether customer protections apply under lower utilization, delayed ramps, canceled projects, or higher-than-expected generation and transmission costs. The quality—and enforceability—of the minimum-bill and collateral provisions matters more than headline pipeline GW.</w:t>
      </w:r>
    </w:p>
    <w:bookmarkEnd w:id="17"/>
    <w:bookmarkStart w:id="18" w:name="Xc277704039fd1b09d5f9cb127934cae703801f1"/>
    <w:p>
      <w:pPr>
        <w:pStyle w:val="Heading2"/>
      </w:pPr>
      <w:r>
        <w:t xml:space="preserve">Financing and reported-EPS considerations</w:t>
      </w:r>
    </w:p>
    <w:p>
      <w:pPr>
        <w:pStyle w:val="FirstParagraph"/>
      </w:pPr>
      <w:r>
        <w:t xml:space="preserve">Southern has moved proactively to fund its growth plan. Following</w:t>
      </w:r>
      <w:r>
        <w:t xml:space="preserve"> </w:t>
      </w:r>
      <m:oMath>
        <m:r>
          <m:t>500</m:t>
        </m:r>
        <m:r>
          <m:t>m</m:t>
        </m:r>
        <m:r>
          <m:t>i</m:t>
        </m:r>
        <m:r>
          <m:t>l</m:t>
        </m:r>
        <m:r>
          <m:t>l</m:t>
        </m:r>
        <m:r>
          <m:t>i</m:t>
        </m:r>
        <m:r>
          <m:t>o</m:t>
        </m:r>
        <m:r>
          <m:t>n</m:t>
        </m:r>
        <m:r>
          <m:t>o</m:t>
        </m:r>
        <m:r>
          <m:t>f</m:t>
        </m:r>
        <m:r>
          <m:t>i</m:t>
        </m:r>
        <m:r>
          <m:t>n</m:t>
        </m:r>
        <m:r>
          <m:t>c</m:t>
        </m:r>
        <m:r>
          <m:t>r</m:t>
        </m:r>
        <m:r>
          <m:t>e</m:t>
        </m:r>
        <m:r>
          <m:t>m</m:t>
        </m:r>
        <m:r>
          <m:t>e</m:t>
        </m:r>
        <m:r>
          <m:t>n</m:t>
        </m:r>
        <m:r>
          <m:t>t</m:t>
        </m:r>
        <m:r>
          <m:t>a</m:t>
        </m:r>
        <m:r>
          <m:t>l</m:t>
        </m:r>
        <m:r>
          <m:t>A</m:t>
        </m:r>
        <m:r>
          <m:t>T</m:t>
        </m:r>
        <m:r>
          <m:t>M</m:t>
        </m:r>
        <m:r>
          <m:t>e</m:t>
        </m:r>
        <m:r>
          <m:t>q</m:t>
        </m:r>
        <m:r>
          <m:t>u</m:t>
        </m:r>
        <m:r>
          <m:t>i</m:t>
        </m:r>
        <m:r>
          <m:t>t</m:t>
        </m:r>
        <m:r>
          <m:t>y</m:t>
        </m:r>
        <m:r>
          <m:t>s</m:t>
        </m:r>
        <m:r>
          <m:t>o</m:t>
        </m:r>
        <m:r>
          <m:t>u</m:t>
        </m:r>
        <m:r>
          <m:t>r</m:t>
        </m:r>
        <m:r>
          <m:t>c</m:t>
        </m:r>
        <m:r>
          <m:t>e</m:t>
        </m:r>
        <m:r>
          <m:t>d</m:t>
        </m:r>
        <m:r>
          <m:t>i</m:t>
        </m:r>
        <m:r>
          <m:t>n</m:t>
        </m:r>
        <m:r>
          <m:t>1</m:t>
        </m:r>
        <m:r>
          <m:t>Q</m:t>
        </m:r>
        <m:r>
          <m:t>26</m:t>
        </m:r>
        <m:r>
          <m:rPr>
            <m:sty m:val="p"/>
          </m:rPr>
          <m:t>,</m:t>
        </m:r>
        <m:r>
          <m:t>t</m:t>
        </m:r>
        <m:r>
          <m:t>h</m:t>
        </m:r>
        <m:r>
          <m:t>e</m:t>
        </m:r>
        <m:r>
          <m:t>c</m:t>
        </m:r>
        <m:r>
          <m:t>o</m:t>
        </m:r>
        <m:r>
          <m:t>m</m:t>
        </m:r>
        <m:r>
          <m:t>p</m:t>
        </m:r>
        <m:r>
          <m:t>a</m:t>
        </m:r>
        <m:r>
          <m:t>n</m:t>
        </m:r>
        <m:r>
          <m:t>y</m:t>
        </m:r>
        <m:r>
          <m:t>e</m:t>
        </m:r>
        <m:r>
          <m:t>s</m:t>
        </m:r>
        <m:r>
          <m:t>t</m:t>
        </m:r>
        <m:r>
          <m:t>i</m:t>
        </m:r>
        <m:r>
          <m:t>m</m:t>
        </m:r>
        <m:r>
          <m:t>a</m:t>
        </m:r>
        <m:r>
          <m:t>t</m:t>
        </m:r>
        <m:r>
          <m:t>e</m:t>
        </m:r>
        <m:r>
          <m:t>d</m:t>
        </m:r>
        <m:r>
          <m:t>a</m:t>
        </m:r>
        <m:r>
          <m:t>r</m:t>
        </m:r>
        <m:r>
          <m:t>e</m:t>
        </m:r>
        <m:r>
          <m:t>m</m:t>
        </m:r>
        <m:r>
          <m:t>a</m:t>
        </m:r>
        <m:r>
          <m:t>i</m:t>
        </m:r>
        <m:r>
          <m:t>n</m:t>
        </m:r>
        <m:r>
          <m:t>i</m:t>
        </m:r>
        <m:r>
          <m:t>n</m:t>
        </m:r>
        <m:r>
          <m:t>g</m:t>
        </m:r>
        <m:r>
          <m:rPr>
            <m:sty m:val="p"/>
          </m:rPr>
          <m:t>*</m:t>
        </m:r>
        <m:r>
          <m:rPr>
            <m:sty m:val="p"/>
          </m:rPr>
          <m:t>*</m:t>
        </m:r>
      </m:oMath>
      <w:r>
        <w:t xml:space="preserve">1.8 billion** of equity or equity-equivalent needs through 2030, including the announced Southern Power uprate spending. It targets approximately</w:t>
      </w:r>
      <w:r>
        <w:t xml:space="preserve"> </w:t>
      </w:r>
      <w:r>
        <w:rPr>
          <w:b/>
          <w:bCs/>
        </w:rPr>
        <w:t xml:space="preserve">17% FFO-to-debt by 2029</w:t>
      </w:r>
      <w:r>
        <w:t xml:space="preserve">.</w:t>
      </w:r>
    </w:p>
    <w:p>
      <w:pPr>
        <w:pStyle w:val="BodyText"/>
      </w:pPr>
      <w:r>
        <w:t xml:space="preserve">The company also highlighted</w:t>
      </w:r>
      <w:r>
        <w:t xml:space="preserve"> </w:t>
      </w:r>
      <w:r>
        <w:rPr>
          <w:b/>
          <w:bCs/>
        </w:rPr>
        <w:t xml:space="preserve">$26.5 billion of Department of Energy loan agreements</w:t>
      </w:r>
      <w:r>
        <w:t xml:space="preserve"> </w:t>
      </w:r>
      <w:r>
        <w:t xml:space="preserve">for Alabama and Georgia, which management expects to lower long-term funding costs and ease capital-market pressure. The loans are expected to generate cumulative customer savings over roughly 30 years, but investors will need to assess draw timing, conditions, and the degree to which they replace conventional debt rather than change the overall equity requirement.</w:t>
      </w:r>
    </w:p>
    <w:p>
      <w:pPr>
        <w:pStyle w:val="BodyText"/>
      </w:pPr>
      <w:r>
        <w:t xml:space="preserve">One modeling complication remains: accelerated depreciation from Southern Power wind repowering. At 1Q, Southern expected roughly</w:t>
      </w:r>
      <w:r>
        <w:t xml:space="preserve"> </w:t>
      </w:r>
      <m:oMath>
        <m:r>
          <m:t>335</m:t>
        </m:r>
        <m:r>
          <m:t>m</m:t>
        </m:r>
        <m:r>
          <m:t>i</m:t>
        </m:r>
        <m:r>
          <m:t>l</m:t>
        </m:r>
        <m:r>
          <m:t>l</m:t>
        </m:r>
        <m:r>
          <m:t>i</m:t>
        </m:r>
        <m:r>
          <m:t>o</m:t>
        </m:r>
        <m:r>
          <m:t>n</m:t>
        </m:r>
        <m:r>
          <m:t>o</m:t>
        </m:r>
        <m:r>
          <m:t>f</m:t>
        </m:r>
        <m:r>
          <m:t>r</m:t>
        </m:r>
        <m:r>
          <m:t>e</m:t>
        </m:r>
        <m:r>
          <m:t>m</m:t>
        </m:r>
        <m:r>
          <m:t>a</m:t>
        </m:r>
        <m:r>
          <m:t>i</m:t>
        </m:r>
        <m:r>
          <m:t>n</m:t>
        </m:r>
        <m:r>
          <m:t>i</m:t>
        </m:r>
        <m:r>
          <m:t>n</m:t>
        </m:r>
        <m:r>
          <m:t>g</m:t>
        </m:r>
        <m:r>
          <m:t>p</m:t>
        </m:r>
        <m:r>
          <m:t>r</m:t>
        </m:r>
        <m:r>
          <m:t>e</m:t>
        </m:r>
        <m:r>
          <m:rPr>
            <m:sty m:val="p"/>
          </m:rPr>
          <m:t>−</m:t>
        </m:r>
        <m:r>
          <m:t>t</m:t>
        </m:r>
        <m:r>
          <m:t>a</m:t>
        </m:r>
        <m:r>
          <m:t>x</m:t>
        </m:r>
        <m:r>
          <m:t>a</m:t>
        </m:r>
        <m:r>
          <m:t>c</m:t>
        </m:r>
        <m:r>
          <m:t>c</m:t>
        </m:r>
        <m:r>
          <m:t>e</m:t>
        </m:r>
        <m:r>
          <m:t>l</m:t>
        </m:r>
        <m:r>
          <m:t>e</m:t>
        </m:r>
        <m:r>
          <m:t>r</m:t>
        </m:r>
        <m:r>
          <m:t>a</m:t>
        </m:r>
        <m:r>
          <m:t>t</m:t>
        </m:r>
        <m:r>
          <m:t>e</m:t>
        </m:r>
        <m:r>
          <m:t>d</m:t>
        </m:r>
        <m:r>
          <m:t>d</m:t>
        </m:r>
        <m:r>
          <m:t>e</m:t>
        </m:r>
        <m:r>
          <m:t>p</m:t>
        </m:r>
        <m:r>
          <m:t>r</m:t>
        </m:r>
        <m:r>
          <m:t>e</m:t>
        </m:r>
        <m:r>
          <m:t>c</m:t>
        </m:r>
        <m:r>
          <m:t>i</m:t>
        </m:r>
        <m:r>
          <m:t>a</m:t>
        </m:r>
        <m:r>
          <m:t>t</m:t>
        </m:r>
        <m:r>
          <m:t>i</m:t>
        </m:r>
        <m:r>
          <m:t>o</m:t>
        </m:r>
        <m:r>
          <m:t>n</m:t>
        </m:r>
        <m:r>
          <m:t>i</m:t>
        </m:r>
        <m:r>
          <m:t>n</m:t>
        </m:r>
        <m:r>
          <m:t>2026</m:t>
        </m:r>
        <m:r>
          <m:rPr>
            <m:sty m:val="p"/>
          </m:rPr>
          <m:t>*</m:t>
        </m:r>
        <m:r>
          <m:rPr>
            <m:sty m:val="p"/>
          </m:rPr>
          <m:t>*</m:t>
        </m:r>
        <m:r>
          <m:t>a</m:t>
        </m:r>
        <m:r>
          <m:t>n</m:t>
        </m:r>
        <m:r>
          <m:t>d</m:t>
        </m:r>
        <m:r>
          <m:t>a</m:t>
        </m:r>
        <m:r>
          <m:t>n</m:t>
        </m:r>
        <m:r>
          <m:t>o</m:t>
        </m:r>
        <m:r>
          <m:t>t</m:t>
        </m:r>
        <m:r>
          <m:t>h</m:t>
        </m:r>
        <m:r>
          <m:t>e</m:t>
        </m:r>
        <m:r>
          <m:t>r</m:t>
        </m:r>
        <m:r>
          <m:rPr>
            <m:sty m:val="p"/>
          </m:rPr>
          <m:t>*</m:t>
        </m:r>
        <m:r>
          <m:rPr>
            <m:sty m:val="p"/>
          </m:rPr>
          <m:t>*</m:t>
        </m:r>
      </m:oMath>
      <w:r>
        <w:rPr>
          <w:b/>
          <w:bCs/>
        </w:rPr>
        <w:t xml:space="preserve">100 million in 2027</w:t>
      </w:r>
      <w:r>
        <w:t xml:space="preserve">. These charges are excluded from adjusted earnings but will continue to distort GAAP-versus-adjusted EPS comparisons until the repowering projects are completed, currently projected through 3Q27.</w:t>
      </w:r>
    </w:p>
    <w:bookmarkEnd w:id="18"/>
    <w:bookmarkStart w:id="19" w:name="stock-setup"/>
    <w:p>
      <w:pPr>
        <w:pStyle w:val="Heading2"/>
      </w:pPr>
      <w:r>
        <w:t xml:space="preserve">Stock setup</w:t>
      </w:r>
    </w:p>
    <w:p>
      <w:pPr>
        <w:pStyle w:val="FirstParagraph"/>
      </w:pPr>
      <w:r>
        <w:t xml:space="preserve">SO closed July 29 at</w:t>
      </w:r>
      <w:r>
        <w:t xml:space="preserve"> </w:t>
      </w:r>
      <w:r>
        <w:rPr>
          <w:b/>
          <w:bCs/>
        </w:rPr>
        <w:t xml:space="preserve">$95.95</w:t>
      </w:r>
      <w:r>
        <w:t xml:space="preserve">, up about</w:t>
      </w:r>
      <w:r>
        <w:t xml:space="preserve"> </w:t>
      </w:r>
      <w:r>
        <w:rPr>
          <w:b/>
          <w:bCs/>
        </w:rPr>
        <w:t xml:space="preserve">10.0%</w:t>
      </w:r>
      <w:r>
        <w:t xml:space="preserve"> </w:t>
      </w:r>
      <w:r>
        <w:t xml:space="preserve">from its December 31, 2025 close of $87.20, though roughly</w:t>
      </w:r>
      <w:r>
        <w:t xml:space="preserve"> </w:t>
      </w:r>
      <w:r>
        <w:rPr>
          <w:b/>
          <w:bCs/>
        </w:rPr>
        <w:t xml:space="preserve">2.1% below</w:t>
      </w:r>
      <w:r>
        <w:t xml:space="preserve"> </w:t>
      </w:r>
      <w:r>
        <w:t xml:space="preserve">its July 2, 2026 closing high of $97.98.</w:t>
      </w:r>
    </w:p>
    <w:p>
      <w:pPr>
        <w:pStyle w:val="BodyText"/>
      </w:pPr>
      <w:r>
        <w:t xml:space="preserve">That performance suggests the market has already assigned meaningful value to the company’s improved growth outlook, contracted load story, and dividend profile. As a result, an in-line quarter with a routine guidance reaffirmation may not be enough for a strong positive reaction. The more durable catalysts would be:</w:t>
      </w:r>
    </w:p>
    <w:p>
      <w:pPr>
        <w:pStyle w:val="Compact"/>
        <w:numPr>
          <w:ilvl w:val="0"/>
          <w:numId w:val="1005"/>
        </w:numPr>
      </w:pPr>
      <w:r>
        <w:t xml:space="preserve">Incremental signed large-load contracts;</w:t>
      </w:r>
    </w:p>
    <w:p>
      <w:pPr>
        <w:pStyle w:val="Compact"/>
        <w:numPr>
          <w:ilvl w:val="0"/>
          <w:numId w:val="1005"/>
        </w:numPr>
      </w:pPr>
      <w:r>
        <w:t xml:space="preserve">Evidence of faster actual usage ramps;</w:t>
      </w:r>
    </w:p>
    <w:p>
      <w:pPr>
        <w:pStyle w:val="Compact"/>
        <w:numPr>
          <w:ilvl w:val="0"/>
          <w:numId w:val="1005"/>
        </w:numPr>
      </w:pPr>
      <w:r>
        <w:t xml:space="preserve">Improved visibility on approved or contract-backed incremental capital;</w:t>
      </w:r>
    </w:p>
    <w:p>
      <w:pPr>
        <w:pStyle w:val="Compact"/>
        <w:numPr>
          <w:ilvl w:val="0"/>
          <w:numId w:val="1005"/>
        </w:numPr>
      </w:pPr>
      <w:r>
        <w:t xml:space="preserve">Stronger confidence in the upper end of 2026 guidance; and</w:t>
      </w:r>
    </w:p>
    <w:p>
      <w:pPr>
        <w:pStyle w:val="Compact"/>
        <w:numPr>
          <w:ilvl w:val="0"/>
          <w:numId w:val="1005"/>
        </w:numPr>
      </w:pPr>
      <w:r>
        <w:t xml:space="preserve">Greater evidence that DOE financing and large-load pricing limit customer-bill and balance-sheet pressure.</w:t>
      </w:r>
    </w:p>
    <w:bookmarkEnd w:id="19"/>
    <w:bookmarkStart w:id="20" w:name="key-questions-for-the-earnings-call"/>
    <w:p>
      <w:pPr>
        <w:pStyle w:val="Heading2"/>
      </w:pPr>
      <w:r>
        <w:t xml:space="preserve">Key questions for the earnings call</w:t>
      </w:r>
    </w:p>
    <w:p>
      <w:pPr>
        <w:pStyle w:val="Compact"/>
        <w:numPr>
          <w:ilvl w:val="0"/>
          <w:numId w:val="1006"/>
        </w:numPr>
      </w:pPr>
      <w:r>
        <w:rPr>
          <w:b/>
          <w:bCs/>
        </w:rPr>
        <w:t xml:space="preserve">Large-load conversion:</w:t>
      </w:r>
      <w:r>
        <w:t xml:space="preserve"> </w:t>
      </w:r>
      <w:r>
        <w:t xml:space="preserve">How many GW were newly contracted during 2Q, and how many GW remain in late-stage negotiations?</w:t>
      </w:r>
    </w:p>
    <w:p>
      <w:pPr>
        <w:pStyle w:val="Compact"/>
        <w:numPr>
          <w:ilvl w:val="0"/>
          <w:numId w:val="1006"/>
        </w:numPr>
      </w:pPr>
      <w:r>
        <w:rPr>
          <w:b/>
          <w:bCs/>
        </w:rPr>
        <w:t xml:space="preserve">Ramp timing:</w:t>
      </w:r>
      <w:r>
        <w:t xml:space="preserve"> </w:t>
      </w:r>
      <w:r>
        <w:t xml:space="preserve">Have energization dates, minimum takes, or expected usage profiles changed for contracted data-center customers?</w:t>
      </w:r>
    </w:p>
    <w:p>
      <w:pPr>
        <w:pStyle w:val="Compact"/>
        <w:numPr>
          <w:ilvl w:val="0"/>
          <w:numId w:val="1006"/>
        </w:numPr>
      </w:pPr>
      <w:r>
        <w:rPr>
          <w:b/>
          <w:bCs/>
        </w:rPr>
        <w:t xml:space="preserve">Sales performance:</w:t>
      </w:r>
      <w:r>
        <w:t xml:space="preserve"> </w:t>
      </w:r>
      <w:r>
        <w:t xml:space="preserve">What were weather-normalized retail sales growth and data-center usage growth in 2Q?</w:t>
      </w:r>
    </w:p>
    <w:p>
      <w:pPr>
        <w:pStyle w:val="Compact"/>
        <w:numPr>
          <w:ilvl w:val="0"/>
          <w:numId w:val="1006"/>
        </w:numPr>
      </w:pPr>
      <w:r>
        <w:rPr>
          <w:b/>
          <w:bCs/>
        </w:rPr>
        <w:t xml:space="preserve">Guidance:</w:t>
      </w:r>
      <w:r>
        <w:t xml:space="preserve"> </w:t>
      </w:r>
      <w:r>
        <w:t xml:space="preserve">Is the company still positioned to deliver near the high end of the</w:t>
      </w:r>
      <w:r>
        <w:t xml:space="preserve"> </w:t>
      </w:r>
      <m:oMath>
        <m:r>
          <m:t>4.50</m:t>
        </m:r>
        <m:r>
          <m:rPr>
            <m:sty m:val="p"/>
          </m:rPr>
          <m:t>–</m:t>
        </m:r>
      </m:oMath>
      <w:r>
        <w:t xml:space="preserve">4.60 adjusted-EPS range?</w:t>
      </w:r>
    </w:p>
    <w:p>
      <w:pPr>
        <w:pStyle w:val="Compact"/>
        <w:numPr>
          <w:ilvl w:val="0"/>
          <w:numId w:val="1006"/>
        </w:numPr>
      </w:pPr>
      <w:r>
        <w:rPr>
          <w:b/>
          <w:bCs/>
        </w:rPr>
        <w:t xml:space="preserve">Georgia RFP:</w:t>
      </w:r>
      <w:r>
        <w:t xml:space="preserve"> </w:t>
      </w:r>
      <w:r>
        <w:t xml:space="preserve">What has changed in the 2–6 GW procurement process, and when should investors expect selection and certification milestones?</w:t>
      </w:r>
    </w:p>
    <w:p>
      <w:pPr>
        <w:pStyle w:val="Compact"/>
        <w:numPr>
          <w:ilvl w:val="0"/>
          <w:numId w:val="1006"/>
        </w:numPr>
      </w:pPr>
      <w:r>
        <w:rPr>
          <w:b/>
          <w:bCs/>
        </w:rPr>
        <w:t xml:space="preserve">Supply chain:</w:t>
      </w:r>
      <w:r>
        <w:t xml:space="preserve"> </w:t>
      </w:r>
      <w:r>
        <w:t xml:space="preserve">Are turbine, transformer, labor, and transmission-equipment costs or delivery schedules still consistent with the current capital plan?</w:t>
      </w:r>
    </w:p>
    <w:p>
      <w:pPr>
        <w:pStyle w:val="Compact"/>
        <w:numPr>
          <w:ilvl w:val="0"/>
          <w:numId w:val="1006"/>
        </w:numPr>
      </w:pPr>
      <w:r>
        <w:rPr>
          <w:b/>
          <w:bCs/>
        </w:rPr>
        <w:t xml:space="preserve">Southern Power:</w:t>
      </w:r>
      <w:r>
        <w:t xml:space="preserve"> </w:t>
      </w:r>
      <w:r>
        <w:t xml:space="preserve">Has the 400 MW uprate initiative become fully contracted, and is the additional 300 MW opportunity advancing?</w:t>
      </w:r>
    </w:p>
    <w:p>
      <w:pPr>
        <w:pStyle w:val="Compact"/>
        <w:numPr>
          <w:ilvl w:val="0"/>
          <w:numId w:val="1006"/>
        </w:numPr>
      </w:pPr>
      <w:r>
        <w:rPr>
          <w:b/>
          <w:bCs/>
        </w:rPr>
        <w:t xml:space="preserve">Capital and equity:</w:t>
      </w:r>
      <w:r>
        <w:t xml:space="preserve"> </w:t>
      </w:r>
      <w:r>
        <w:t xml:space="preserve">Has the remaining $1.8 billion financing need changed, and what is the expected cadence of any additional equity issuance?</w:t>
      </w:r>
    </w:p>
    <w:p>
      <w:pPr>
        <w:pStyle w:val="Compact"/>
        <w:numPr>
          <w:ilvl w:val="0"/>
          <w:numId w:val="1006"/>
        </w:numPr>
      </w:pPr>
      <w:r>
        <w:rPr>
          <w:b/>
          <w:bCs/>
        </w:rPr>
        <w:t xml:space="preserve">Affordability:</w:t>
      </w:r>
      <w:r>
        <w:t xml:space="preserve"> </w:t>
      </w:r>
      <w:r>
        <w:t xml:space="preserve">Can management quantify minimum-bill recoveries and explain how protections work if a contracted large-load customer underutilizes, delays, or exits?</w:t>
      </w:r>
    </w:p>
    <w:p>
      <w:pPr>
        <w:pStyle w:val="Compact"/>
        <w:numPr>
          <w:ilvl w:val="0"/>
          <w:numId w:val="1006"/>
        </w:numPr>
      </w:pPr>
      <w:r>
        <w:rPr>
          <w:b/>
          <w:bCs/>
        </w:rPr>
        <w:t xml:space="preserve">DOE loans:</w:t>
      </w:r>
      <w:r>
        <w:t xml:space="preserve"> </w:t>
      </w:r>
      <w:r>
        <w:t xml:space="preserve">What are the key timing, approval, and drawdown milestones for the $26.5 billion financing package?</w:t>
      </w:r>
    </w:p>
    <w:bookmarkEnd w:id="20"/>
    <w:bookmarkStart w:id="22" w:name="earnings-day-read-through"/>
    <w:p>
      <w:pPr>
        <w:pStyle w:val="Heading2"/>
      </w:pPr>
      <w:r>
        <w:t xml:space="preserve">Earnings-day read-through</w:t>
      </w:r>
    </w:p>
    <w:p>
      <w:pPr>
        <w:pStyle w:val="FirstParagraph"/>
      </w:pPr>
      <w:r>
        <w:rPr>
          <w:b/>
          <w:bCs/>
        </w:rPr>
        <w:t xml:space="preserve">Bullish result:</w:t>
      </w:r>
      <w:r>
        <w:t xml:space="preserve"> </w:t>
      </w:r>
      <w:r>
        <w:t xml:space="preserve">adjusted EPS at/above $1.00, reaffirmed or strengthened full-year confidence, healthy commercial/data-center demand, new signed GW, no material capital-cost or equipment-supply pressure, and further evidence that large-load contracts protect retail customers.</w:t>
      </w:r>
    </w:p>
    <w:p>
      <w:pPr>
        <w:pStyle w:val="BodyText"/>
      </w:pPr>
      <w:r>
        <w:rPr>
          <w:b/>
          <w:bCs/>
        </w:rPr>
        <w:t xml:space="preserve">Neutral result:</w:t>
      </w:r>
      <w:r>
        <w:t xml:space="preserve"> </w:t>
      </w:r>
      <w:r>
        <w:t xml:space="preserve">EPS around the $1.00 estimate, guidance maintained, steady sales growth, and no meaningful update on late-stage contracts or incremental capital.</w:t>
      </w:r>
    </w:p>
    <w:p>
      <w:pPr>
        <w:pStyle w:val="BodyText"/>
      </w:pPr>
      <w:r>
        <w:rPr>
          <w:b/>
          <w:bCs/>
        </w:rPr>
        <w:t xml:space="preserve">Bearish result:</w:t>
      </w:r>
      <w:r>
        <w:t xml:space="preserve"> </w:t>
      </w:r>
      <w:r>
        <w:t xml:space="preserve">a miss driven by weaker sales or weather without offsets, delayed load ramps, erosion in contracted demand, rising project-cost/supply-chain pressure, a larger equity need, or more political/regulatory scrutiny around affordability.</w:t>
      </w:r>
    </w:p>
    <w:p>
      <w:r>
        <w:pict>
          <v:rect style="width:0;height:1.5pt" o:hralign="center" o:hrstd="t" o:hr="t"/>
        </w:pict>
      </w:r>
    </w:p>
    <w:bookmarkStart w:id="21" w:name="sources-reviewed"/>
    <w:p>
      <w:pPr>
        <w:pStyle w:val="Heading3"/>
      </w:pPr>
      <w:r>
        <w:t xml:space="preserve">Sources reviewed</w:t>
      </w:r>
    </w:p>
    <w:p>
      <w:pPr>
        <w:pStyle w:val="FirstParagraph"/>
      </w:pPr>
      <w:r>
        <w:t xml:space="preserve">Southern Company’s 1Q26 earnings release and earnings-call transcript; 2025Q4 earnings-call transcript; 2Q25 earnings release; SO historical share-price data through July 29,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2026-07-29T19:07:40Z</dcterms:created>
  <dcterms:modified xsi:type="dcterms:W3CDTF">2026-07-29T19:07:40Z</dcterms:modified>
</cp:coreProperties>
</file>

<file path=docProps/custom.xml><?xml version="1.0" encoding="utf-8"?>
<Properties xmlns="http://schemas.openxmlformats.org/officeDocument/2006/custom-properties" xmlns:vt="http://schemas.openxmlformats.org/officeDocument/2006/docPropsVTypes"/>
</file>