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Southern Company (SO)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Southern Company</w:t>
            </w:r>
          </w:p>
        </w:tc>
      </w:tr>
      <w:tr>
        <w:tc>
          <w:tcPr>
            <w:tcW w:type="dxa" w:w="4320"/>
          </w:tcPr>
          <w:p>
            <w:r>
              <w:rPr>
                <w:rFonts w:ascii="Calibri" w:hAnsi="Calibri"/>
                <w:b/>
                <w:sz w:val="22"/>
              </w:rPr>
              <w:t>Ticker</w:t>
            </w:r>
          </w:p>
        </w:tc>
        <w:tc>
          <w:tcPr>
            <w:tcW w:type="dxa" w:w="4320"/>
          </w:tcPr>
          <w:p>
            <w:r>
              <w:rPr>
                <w:rFonts w:ascii="Calibri" w:hAnsi="Calibri"/>
                <w:sz w:val="22"/>
              </w:rPr>
              <w:t>NYSE: SO</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30, 2026 — Before Market Open</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Sector ETF Benchmark</w:t>
            </w:r>
          </w:p>
        </w:tc>
        <w:tc>
          <w:tcPr>
            <w:tcW w:type="dxa" w:w="4320"/>
          </w:tcPr>
          <w:p>
            <w:r>
              <w:rPr>
                <w:rFonts w:ascii="Calibri" w:hAnsi="Calibri"/>
                <w:sz w:val="22"/>
              </w:rPr>
              <w:t>XLU (Utilities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 management guided Q2 2026 adjusted EPS at $1.00 and consensus sits at ~$0.98–$1.01, a low bar given Q1’s $0.12 outperformance; the single biggest swing factor is the pace of large load data center ramp and whether usage acceleration continued into Q2.</w:t>
      </w:r>
    </w:p>
    <w:p>
      <w:r>
        <w:rPr>
          <w:rFonts w:ascii="Calibri" w:hAnsi="Calibri"/>
          <w:color w:val="525866"/>
          <w:sz w:val="22"/>
        </w:rPr>
        <w:t xml:space="preserve">Heading into Q2 2026 earnings, Southern Company’s setup is constructive. The bar is modest: management’s own Q2 estimate of $1.00 per share is essentially in line with Street consensus (~$0.98–$1.01), and the company beat its own Q1 estimate by $0.12 — the largest single-quarter outperformance in recent memory — driven by a </w:t>
      </w:r>
      <w:r>
        <w:rPr>
          <w:rFonts w:ascii="Calibri" w:hAnsi="Calibri"/>
          <w:b/>
          <w:color w:val="525866"/>
          <w:sz w:val="22"/>
        </w:rPr>
        <w:t>42% year-over-year surge in data center usage</w:t>
      </w:r>
      <w:r>
        <w:rPr>
          <w:rFonts w:ascii="Calibri" w:hAnsi="Calibri"/>
          <w:color w:val="525866"/>
          <w:sz w:val="22"/>
        </w:rPr>
        <w:t xml:space="preserve"> and weather-normal retail sales growth at the highest first-quarter pace in recent history. Management’s tone has shifted decisively from cautious optimism to confident execution, with CEO Chris Womack emphasizing “momentum building” across all customer classes and a contracted large load pipeline now exceeding 11 GW with 12 GW in late-stage discussions. Estimate revisions have been modestly positive since the Q1 print, with FY2026 consensus EPS moving from $4.58 to $4.57 (essentially flat) and FY2027 from $4.93 to $4.93, suggesting the Street has not yet fully priced in the upside from Southern Power recontracting and incremental large load capital — a gap that represents cushion rather than risk. The stock has essentially flatlined since the Q1 earnings date (indexed return of ~99 vs. XLU at ~96 and SPY at ~102), suggesting the market has neither priced in a beat nor a miss, leaving the stock with asymmetric upside if data center usage trends confirm Q1’s acceleration. The key wildcard is whether the </w:t>
      </w:r>
      <w:r>
        <w:rPr>
          <w:rFonts w:ascii="Calibri" w:hAnsi="Calibri"/>
          <w:b/>
          <w:color w:val="525866"/>
          <w:sz w:val="22"/>
        </w:rPr>
        <w:t>Georgia PSC all-source RFP process</w:t>
      </w:r>
      <w:r>
        <w:rPr>
          <w:rFonts w:ascii="Calibri" w:hAnsi="Calibri"/>
          <w:color w:val="525866"/>
          <w:sz w:val="22"/>
        </w:rPr>
        <w:t xml:space="preserve"> produces any incremental capital guidance update, which could meaningfully re-rate the stock’s long-term growth trajectory above the current 7–8% framework.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 bar heading into Q2 — management’s own $1.00 EPS estimate is essentially at or above Street consensus, and the company has beaten its own estimate in each of the last several quarters. </w:t>
      </w:r>
      <w:r>
        <w:rPr>
          <w:rFonts w:ascii="Calibri" w:hAnsi="Calibri"/>
          <w:b/>
          <w:color w:val="525866"/>
          <w:sz w:val="22"/>
        </w:rPr>
        <w:t>Adjusted EPS is the primary swing factor</w:t>
      </w:r>
      <w:r>
        <w:rPr>
          <w:rFonts w:ascii="Calibri" w:hAnsi="Calibri"/>
          <w:color w:val="525866"/>
          <w:sz w:val="22"/>
        </w:rPr>
        <w:t>; revenue is secondary given the regulated utility model.</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Qtr)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Mgmt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Adjusted EPS (Diluted - Operating)</w:t>
            </w:r>
          </w:p>
        </w:tc>
        <w:tc>
          <w:tcPr>
            <w:tcW w:type="dxa" w:w="1234"/>
          </w:tcPr>
          <w:p>
            <w:r>
              <w:rPr>
                <w:rFonts w:ascii="Calibri" w:hAnsi="Calibri"/>
                <w:sz w:val="22"/>
              </w:rPr>
              <w:t>$1.32</w:t>
            </w:r>
          </w:p>
        </w:tc>
        <w:tc>
          <w:tcPr>
            <w:tcW w:type="dxa" w:w="1234"/>
          </w:tcPr>
          <w:p>
            <w:r>
              <w:rPr>
                <w:rFonts w:ascii="Calibri" w:hAnsi="Calibri"/>
                <w:sz w:val="22"/>
              </w:rPr>
              <w:t>$0.92</w:t>
            </w:r>
          </w:p>
        </w:tc>
        <w:tc>
          <w:tcPr>
            <w:tcW w:type="dxa" w:w="1234"/>
          </w:tcPr>
          <w:p>
            <w:r>
              <w:rPr>
                <w:rFonts w:ascii="Calibri" w:hAnsi="Calibri"/>
                <w:sz w:val="22"/>
              </w:rPr>
              <w:t>$0.98</w:t>
            </w:r>
          </w:p>
        </w:tc>
        <w:tc>
          <w:tcPr>
            <w:tcW w:type="dxa" w:w="1234"/>
          </w:tcPr>
          <w:p>
            <w:r>
              <w:rPr>
                <w:rFonts w:ascii="Calibri" w:hAnsi="Calibri"/>
                <w:sz w:val="22"/>
              </w:rPr>
              <w:t>+6.8%</w:t>
            </w:r>
          </w:p>
        </w:tc>
        <w:tc>
          <w:tcPr>
            <w:tcW w:type="dxa" w:w="1234"/>
          </w:tcPr>
          <w:p>
            <w:r>
              <w:rPr>
                <w:rFonts w:ascii="Calibri" w:hAnsi="Calibri"/>
                <w:sz w:val="22"/>
              </w:rPr>
              <w:t>$1.00</w:t>
            </w:r>
          </w:p>
        </w:tc>
        <w:tc>
          <w:tcPr>
            <w:tcW w:type="dxa" w:w="1234"/>
          </w:tcPr>
          <w:p>
            <w:r>
              <w:rPr>
                <w:rFonts w:ascii="Calibri" w:hAnsi="Calibri"/>
                <w:sz w:val="22"/>
              </w:rPr>
              <w:t>-2.0%</w:t>
            </w:r>
          </w:p>
        </w:tc>
      </w:tr>
      <w:tr>
        <w:tc>
          <w:tcPr>
            <w:tcW w:type="dxa" w:w="1234"/>
          </w:tcPr>
          <w:p>
            <w:r>
              <w:rPr>
                <w:rFonts w:ascii="Calibri" w:hAnsi="Calibri"/>
                <w:sz w:val="22"/>
              </w:rPr>
              <w:t>Total Revenue</w:t>
            </w:r>
          </w:p>
        </w:tc>
        <w:tc>
          <w:tcPr>
            <w:tcW w:type="dxa" w:w="1234"/>
          </w:tcPr>
          <w:p>
            <w:r>
              <w:rPr>
                <w:rFonts w:ascii="Calibri" w:hAnsi="Calibri"/>
                <w:sz w:val="22"/>
              </w:rPr>
              <w:t>$8.40B</w:t>
            </w:r>
          </w:p>
        </w:tc>
        <w:tc>
          <w:tcPr>
            <w:tcW w:type="dxa" w:w="1234"/>
          </w:tcPr>
          <w:p>
            <w:r>
              <w:rPr>
                <w:rFonts w:ascii="Calibri" w:hAnsi="Calibri"/>
                <w:sz w:val="22"/>
              </w:rPr>
              <w:t>$6.97B</w:t>
            </w:r>
          </w:p>
        </w:tc>
        <w:tc>
          <w:tcPr>
            <w:tcW w:type="dxa" w:w="1234"/>
          </w:tcPr>
          <w:p>
            <w:r>
              <w:rPr>
                <w:rFonts w:ascii="Calibri" w:hAnsi="Calibri"/>
                <w:sz w:val="22"/>
              </w:rPr>
              <w:t>$7.28B</w:t>
            </w:r>
          </w:p>
        </w:tc>
        <w:tc>
          <w:tcPr>
            <w:tcW w:type="dxa" w:w="1234"/>
          </w:tcPr>
          <w:p>
            <w:r>
              <w:rPr>
                <w:rFonts w:ascii="Calibri" w:hAnsi="Calibri"/>
                <w:sz w:val="22"/>
              </w:rPr>
              <w:t>+4.4%</w:t>
            </w:r>
          </w:p>
        </w:tc>
        <w:tc>
          <w:tcPr>
            <w:tcW w:type="dxa" w:w="1234"/>
          </w:tcPr>
          <w:p>
            <w:r>
              <w:rPr>
                <w:rFonts w:ascii="Calibri" w:hAnsi="Calibri"/>
                <w:sz w:val="22"/>
              </w:rPr>
              <w:t>N/A — not provided</w:t>
            </w:r>
          </w:p>
        </w:tc>
        <w:tc>
          <w:tcPr>
            <w:tcW w:type="dxa" w:w="1234"/>
          </w:tcPr>
          <w:p>
            <w:r>
              <w:rPr>
                <w:rFonts w:ascii="Calibri" w:hAnsi="Calibri"/>
                <w:sz w:val="22"/>
              </w:rPr>
              <w:t>N/A</w:t>
            </w:r>
          </w:p>
        </w:tc>
      </w:tr>
      <w:tr>
        <w:tc>
          <w:tcPr>
            <w:tcW w:type="dxa" w:w="1234"/>
          </w:tcPr>
          <w:p>
            <w:r>
              <w:rPr>
                <w:rFonts w:ascii="Calibri" w:hAnsi="Calibri"/>
                <w:sz w:val="22"/>
              </w:rPr>
              <w:t>Capital Additions</w:t>
            </w:r>
          </w:p>
        </w:tc>
        <w:tc>
          <w:tcPr>
            <w:tcW w:type="dxa" w:w="1234"/>
          </w:tcPr>
          <w:p>
            <w:r>
              <w:rPr>
                <w:rFonts w:ascii="Calibri" w:hAnsi="Calibri"/>
                <w:sz w:val="22"/>
              </w:rPr>
              <w:t>$2.94B</w:t>
            </w:r>
          </w:p>
        </w:tc>
        <w:tc>
          <w:tcPr>
            <w:tcW w:type="dxa" w:w="1234"/>
          </w:tcPr>
          <w:p>
            <w:r>
              <w:rPr>
                <w:rFonts w:ascii="Calibri" w:hAnsi="Calibri"/>
                <w:sz w:val="22"/>
              </w:rPr>
              <w:t>$2.80B</w:t>
            </w:r>
          </w:p>
        </w:tc>
        <w:tc>
          <w:tcPr>
            <w:tcW w:type="dxa" w:w="1234"/>
          </w:tcPr>
          <w:p>
            <w:r>
              <w:rPr>
                <w:rFonts w:ascii="Calibri" w:hAnsi="Calibri"/>
                <w:sz w:val="22"/>
              </w:rPr>
              <w:t>$4.15B</w:t>
            </w:r>
          </w:p>
        </w:tc>
        <w:tc>
          <w:tcPr>
            <w:tcW w:type="dxa" w:w="1234"/>
          </w:tcPr>
          <w:p>
            <w:r>
              <w:rPr>
                <w:rFonts w:ascii="Calibri" w:hAnsi="Calibri"/>
                <w:sz w:val="22"/>
              </w:rPr>
              <w:t>+48.2%</w:t>
            </w:r>
          </w:p>
        </w:tc>
        <w:tc>
          <w:tcPr>
            <w:tcW w:type="dxa" w:w="1234"/>
          </w:tcPr>
          <w:p>
            <w:r>
              <w:rPr>
                <w:rFonts w:ascii="Calibri" w:hAnsi="Calibri"/>
                <w:sz w:val="22"/>
              </w:rPr>
              <w:t>N/A — not provided</w:t>
            </w:r>
          </w:p>
        </w:tc>
        <w:tc>
          <w:tcPr>
            <w:tcW w:type="dxa" w:w="1234"/>
          </w:tcPr>
          <w:p>
            <w:r>
              <w:rPr>
                <w:rFonts w:ascii="Calibri" w:hAnsi="Calibri"/>
                <w:sz w:val="22"/>
              </w:rPr>
              <w:t>N/A</w:t>
            </w:r>
          </w:p>
        </w:tc>
      </w:tr>
      <w:tr>
        <w:tc>
          <w:tcPr>
            <w:tcW w:type="dxa" w:w="1234"/>
          </w:tcPr>
          <w:p>
            <w:r>
              <w:rPr>
                <w:rFonts w:ascii="Calibri" w:hAnsi="Calibri"/>
                <w:sz w:val="22"/>
              </w:rPr>
              <w:t>FFO / Total Debt</w:t>
            </w:r>
          </w:p>
        </w:tc>
        <w:tc>
          <w:tcPr>
            <w:tcW w:type="dxa" w:w="1234"/>
          </w:tcPr>
          <w:p>
            <w:r>
              <w:rPr>
                <w:rFonts w:ascii="Calibri" w:hAnsi="Calibri"/>
                <w:sz w:val="22"/>
              </w:rPr>
              <w:t>13.1%</w:t>
            </w:r>
          </w:p>
        </w:tc>
        <w:tc>
          <w:tcPr>
            <w:tcW w:type="dxa" w:w="1234"/>
          </w:tcPr>
          <w:p>
            <w:r>
              <w:rPr>
                <w:rFonts w:ascii="Calibri" w:hAnsi="Calibri"/>
                <w:sz w:val="22"/>
              </w:rPr>
              <w:t>13.3%</w:t>
            </w:r>
          </w:p>
        </w:tc>
        <w:tc>
          <w:tcPr>
            <w:tcW w:type="dxa" w:w="1234"/>
          </w:tcPr>
          <w:p>
            <w:r>
              <w:rPr>
                <w:rFonts w:ascii="Calibri" w:hAnsi="Calibri"/>
                <w:sz w:val="22"/>
              </w:rPr>
              <w:t>14.7%</w:t>
            </w:r>
          </w:p>
        </w:tc>
        <w:tc>
          <w:tcPr>
            <w:tcW w:type="dxa" w:w="1234"/>
          </w:tcPr>
          <w:p>
            <w:r>
              <w:rPr>
                <w:rFonts w:ascii="Calibri" w:hAnsi="Calibri"/>
                <w:sz w:val="22"/>
              </w:rPr>
              <w:t>+140 bps</w:t>
            </w:r>
          </w:p>
        </w:tc>
        <w:tc>
          <w:tcPr>
            <w:tcW w:type="dxa" w:w="1234"/>
          </w:tcPr>
          <w:p>
            <w:r>
              <w:rPr>
                <w:rFonts w:ascii="Calibri" w:hAnsi="Calibri"/>
                <w:sz w:val="22"/>
              </w:rPr>
              <w:t>~17% by 2029</w:t>
            </w:r>
          </w:p>
        </w:tc>
        <w:tc>
          <w:tcPr>
            <w:tcW w:type="dxa" w:w="1234"/>
          </w:tcPr>
          <w:p>
            <w:r>
              <w:rPr>
                <w:rFonts w:ascii="Calibri" w:hAnsi="Calibri"/>
                <w:sz w:val="22"/>
              </w:rPr>
              <w:t>N/A (FY target)</w:t>
            </w:r>
          </w:p>
        </w:tc>
      </w:tr>
    </w:tbl>
    <w:p>
      <w:r>
        <w:rPr>
          <w:rFonts w:ascii="Calibri" w:hAnsi="Calibri"/>
          <w:i/>
          <w:color w:val="525866"/>
          <w:sz w:val="22"/>
        </w:rPr>
        <w:t>Sources: Visible Alpha Consensus and Actuals Data. Q2 2025 Actual EPS = $0.915; Q1 2026 Actual EPS = $1.317; Q2 2026 Consensus = $0.979. Total Revenue: Q2 2025 Actual = $6.973B; Q1 2026 Actual = $8.397B; Q2 2026 Consensus = $7.276B. Capital Additions: Q2 2025 Actual = $2.800B; Q1 2026 Actual = $2.944B; Q2 2026 Consensus = $4.152B. FFO/Total Debt: Q2 2025 Actual = 13.3%; Q1 2026 Actual = 13.1%; Q2 2026 Consensus = 14.7%. Management Q2 2026 EPS guidance of $1.00 per share stated on Q1 2026 earnings call (April 30, 2026).</w:t>
      </w:r>
    </w:p>
    <w:p>
      <w:pPr>
        <w:pStyle w:val="Heading3"/>
      </w:pPr>
      <w:r>
        <w:rPr>
          <w:rFonts w:ascii="Calibri" w:hAnsi="Calibri"/>
          <w:b/>
          <w:color w:val="3B4259"/>
          <w:sz w:val="24"/>
        </w:rPr>
        <w:t>Table 2 — Beat/Miss History (Last 8 Quarters, Top 2 KPIs)</w:t>
      </w:r>
    </w:p>
    <w:p>
      <w:r>
        <w:rPr>
          <w:rFonts w:ascii="Calibri" w:hAnsi="Calibri"/>
          <w:b/>
          <w:color w:val="525866"/>
          <w:sz w:val="22"/>
        </w:rPr>
        <w:t>KPI 1: Adjusted EPS (Diluted -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$1.317</w:t>
            </w:r>
          </w:p>
        </w:tc>
        <w:tc>
          <w:tcPr>
            <w:tcW w:type="dxa" w:w="1728"/>
          </w:tcPr>
          <w:p>
            <w:r>
              <w:rPr>
                <w:rFonts w:ascii="Calibri" w:hAnsi="Calibri"/>
                <w:sz w:val="22"/>
              </w:rPr>
              <w:t>$1.243</w:t>
            </w:r>
          </w:p>
        </w:tc>
        <w:tc>
          <w:tcPr>
            <w:tcW w:type="dxa" w:w="1728"/>
          </w:tcPr>
          <w:p>
            <w:r>
              <w:rPr>
                <w:rFonts w:ascii="Calibri" w:hAnsi="Calibri"/>
                <w:b/>
                <w:color w:val="30A46C"/>
                <w:sz w:val="22"/>
              </w:rPr>
              <w:t>+6.0%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$0.550</w:t>
            </w:r>
          </w:p>
        </w:tc>
        <w:tc>
          <w:tcPr>
            <w:tcW w:type="dxa" w:w="1728"/>
          </w:tcPr>
          <w:p>
            <w:r>
              <w:rPr>
                <w:rFonts w:ascii="Calibri" w:hAnsi="Calibri"/>
                <w:sz w:val="22"/>
              </w:rPr>
              <w:t>$0.576</w:t>
            </w:r>
          </w:p>
        </w:tc>
        <w:tc>
          <w:tcPr>
            <w:tcW w:type="dxa" w:w="1728"/>
          </w:tcPr>
          <w:p>
            <w:r>
              <w:rPr>
                <w:rFonts w:ascii="Calibri" w:hAnsi="Calibri"/>
                <w:b/>
                <w:color w:val="E5484D"/>
                <w:sz w:val="22"/>
              </w:rPr>
              <w:t>-4.5%</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$1.591</w:t>
            </w:r>
          </w:p>
        </w:tc>
        <w:tc>
          <w:tcPr>
            <w:tcW w:type="dxa" w:w="1728"/>
          </w:tcPr>
          <w:p>
            <w:r>
              <w:rPr>
                <w:rFonts w:ascii="Calibri" w:hAnsi="Calibri"/>
                <w:sz w:val="22"/>
              </w:rPr>
              <w:t>$1.499</w:t>
            </w:r>
          </w:p>
        </w:tc>
        <w:tc>
          <w:tcPr>
            <w:tcW w:type="dxa" w:w="1728"/>
          </w:tcPr>
          <w:p>
            <w:r>
              <w:rPr>
                <w:rFonts w:ascii="Calibri" w:hAnsi="Calibri"/>
                <w:b/>
                <w:color w:val="30A46C"/>
                <w:sz w:val="22"/>
              </w:rPr>
              <w:t>+6.1%</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$0.915</w:t>
            </w:r>
          </w:p>
        </w:tc>
        <w:tc>
          <w:tcPr>
            <w:tcW w:type="dxa" w:w="1728"/>
          </w:tcPr>
          <w:p>
            <w:r>
              <w:rPr>
                <w:rFonts w:ascii="Calibri" w:hAnsi="Calibri"/>
                <w:sz w:val="22"/>
              </w:rPr>
              <w:t>$0.872</w:t>
            </w:r>
          </w:p>
        </w:tc>
        <w:tc>
          <w:tcPr>
            <w:tcW w:type="dxa" w:w="1728"/>
          </w:tcPr>
          <w:p>
            <w:r>
              <w:rPr>
                <w:rFonts w:ascii="Calibri" w:hAnsi="Calibri"/>
                <w:b/>
                <w:color w:val="30A46C"/>
                <w:sz w:val="22"/>
              </w:rPr>
              <w:t>+4.9%</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$1.227</w:t>
            </w:r>
          </w:p>
        </w:tc>
        <w:tc>
          <w:tcPr>
            <w:tcW w:type="dxa" w:w="1728"/>
          </w:tcPr>
          <w:p>
            <w:r>
              <w:rPr>
                <w:rFonts w:ascii="Calibri" w:hAnsi="Calibri"/>
                <w:sz w:val="22"/>
              </w:rPr>
              <w:t>$1.202</w:t>
            </w:r>
          </w:p>
        </w:tc>
        <w:tc>
          <w:tcPr>
            <w:tcW w:type="dxa" w:w="1728"/>
          </w:tcPr>
          <w:p>
            <w:r>
              <w:rPr>
                <w:rFonts w:ascii="Calibri" w:hAnsi="Calibri"/>
                <w:b/>
                <w:color w:val="30A46C"/>
                <w:sz w:val="22"/>
              </w:rPr>
              <w:t>+2.1%</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$0.493</w:t>
            </w:r>
          </w:p>
        </w:tc>
        <w:tc>
          <w:tcPr>
            <w:tcW w:type="dxa" w:w="1728"/>
          </w:tcPr>
          <w:p>
            <w:r>
              <w:rPr>
                <w:rFonts w:ascii="Calibri" w:hAnsi="Calibri"/>
                <w:sz w:val="22"/>
              </w:rPr>
              <w:t>$0.503</w:t>
            </w:r>
          </w:p>
        </w:tc>
        <w:tc>
          <w:tcPr>
            <w:tcW w:type="dxa" w:w="1728"/>
          </w:tcPr>
          <w:p>
            <w:r>
              <w:rPr>
                <w:rFonts w:ascii="Calibri" w:hAnsi="Calibri"/>
                <w:b/>
                <w:color w:val="E5484D"/>
                <w:sz w:val="22"/>
              </w:rPr>
              <w:t>-2.0%</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$1.427</w:t>
            </w:r>
          </w:p>
        </w:tc>
        <w:tc>
          <w:tcPr>
            <w:tcW w:type="dxa" w:w="1728"/>
          </w:tcPr>
          <w:p>
            <w:r>
              <w:rPr>
                <w:rFonts w:ascii="Calibri" w:hAnsi="Calibri"/>
                <w:sz w:val="22"/>
              </w:rPr>
              <w:t>$1.333</w:t>
            </w:r>
          </w:p>
        </w:tc>
        <w:tc>
          <w:tcPr>
            <w:tcW w:type="dxa" w:w="1728"/>
          </w:tcPr>
          <w:p>
            <w:r>
              <w:rPr>
                <w:rFonts w:ascii="Calibri" w:hAnsi="Calibri"/>
                <w:b/>
                <w:color w:val="30A46C"/>
                <w:sz w:val="22"/>
              </w:rPr>
              <w:t>+7.1%</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$1.093</w:t>
            </w:r>
          </w:p>
        </w:tc>
        <w:tc>
          <w:tcPr>
            <w:tcW w:type="dxa" w:w="1728"/>
          </w:tcPr>
          <w:p>
            <w:r>
              <w:rPr>
                <w:rFonts w:ascii="Calibri" w:hAnsi="Calibri"/>
                <w:sz w:val="22"/>
              </w:rPr>
              <w:t>$0.869</w:t>
            </w:r>
          </w:p>
        </w:tc>
        <w:tc>
          <w:tcPr>
            <w:tcW w:type="dxa" w:w="1728"/>
          </w:tcPr>
          <w:p>
            <w:r>
              <w:rPr>
                <w:rFonts w:ascii="Calibri" w:hAnsi="Calibri"/>
                <w:b/>
                <w:color w:val="30A46C"/>
                <w:sz w:val="22"/>
              </w:rPr>
              <w:t>+25.7%</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SO has beaten adjusted EPS consensus in 6 of the last 8 quarters, with the two misses (Q4 2024, Q4 2025) both in seasonally weak fourth quarters; the Q2 beat rate is 2-for-2 in the trailing two years, and the Q1 2026 beat of +6.0% was the largest non-Q2 outperformance in the window.</w:t>
      </w:r>
    </w:p>
    <w:p>
      <w:r>
        <w:rPr>
          <w:rFonts w:ascii="Calibri" w:hAnsi="Calibri"/>
          <w:b/>
          <w:color w:val="525866"/>
          <w:sz w:val="22"/>
        </w:rPr>
        <w:t>KPI 2: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$8.397B</w:t>
            </w:r>
          </w:p>
        </w:tc>
        <w:tc>
          <w:tcPr>
            <w:tcW w:type="dxa" w:w="1728"/>
          </w:tcPr>
          <w:p>
            <w:r>
              <w:rPr>
                <w:rFonts w:ascii="Calibri" w:hAnsi="Calibri"/>
                <w:sz w:val="22"/>
              </w:rPr>
              <w:t>$7.979B</w:t>
            </w:r>
          </w:p>
        </w:tc>
        <w:tc>
          <w:tcPr>
            <w:tcW w:type="dxa" w:w="1728"/>
          </w:tcPr>
          <w:p>
            <w:r>
              <w:rPr>
                <w:rFonts w:ascii="Calibri" w:hAnsi="Calibri"/>
                <w:b/>
                <w:color w:val="30A46C"/>
                <w:sz w:val="22"/>
              </w:rPr>
              <w:t>+5.2%</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$6.982B</w:t>
            </w:r>
          </w:p>
        </w:tc>
        <w:tc>
          <w:tcPr>
            <w:tcW w:type="dxa" w:w="1728"/>
          </w:tcPr>
          <w:p>
            <w:r>
              <w:rPr>
                <w:rFonts w:ascii="Calibri" w:hAnsi="Calibri"/>
                <w:sz w:val="22"/>
              </w:rPr>
              <w:t>$6.190B</w:t>
            </w:r>
          </w:p>
        </w:tc>
        <w:tc>
          <w:tcPr>
            <w:tcW w:type="dxa" w:w="1728"/>
          </w:tcPr>
          <w:p>
            <w:r>
              <w:rPr>
                <w:rFonts w:ascii="Calibri" w:hAnsi="Calibri"/>
                <w:b/>
                <w:color w:val="30A46C"/>
                <w:sz w:val="22"/>
              </w:rPr>
              <w:t>+12.8%</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$7.823B</w:t>
            </w:r>
          </w:p>
        </w:tc>
        <w:tc>
          <w:tcPr>
            <w:tcW w:type="dxa" w:w="1728"/>
          </w:tcPr>
          <w:p>
            <w:r>
              <w:rPr>
                <w:rFonts w:ascii="Calibri" w:hAnsi="Calibri"/>
                <w:sz w:val="22"/>
              </w:rPr>
              <w:t>$7.816B</w:t>
            </w:r>
          </w:p>
        </w:tc>
        <w:tc>
          <w:tcPr>
            <w:tcW w:type="dxa" w:w="1728"/>
          </w:tcPr>
          <w:p>
            <w:r>
              <w:rPr>
                <w:rFonts w:ascii="Calibri" w:hAnsi="Calibri"/>
                <w:b/>
                <w:color w:val="30A46C"/>
                <w:sz w:val="22"/>
              </w:rPr>
              <w:t>+0.1%</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$6.973B</w:t>
            </w:r>
          </w:p>
        </w:tc>
        <w:tc>
          <w:tcPr>
            <w:tcW w:type="dxa" w:w="1728"/>
          </w:tcPr>
          <w:p>
            <w:r>
              <w:rPr>
                <w:rFonts w:ascii="Calibri" w:hAnsi="Calibri"/>
                <w:sz w:val="22"/>
              </w:rPr>
              <w:t>$6.262B</w:t>
            </w:r>
          </w:p>
        </w:tc>
        <w:tc>
          <w:tcPr>
            <w:tcW w:type="dxa" w:w="1728"/>
          </w:tcPr>
          <w:p>
            <w:r>
              <w:rPr>
                <w:rFonts w:ascii="Calibri" w:hAnsi="Calibri"/>
                <w:b/>
                <w:color w:val="30A46C"/>
                <w:sz w:val="22"/>
              </w:rPr>
              <w:t>+11.4%</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$7.775B</w:t>
            </w:r>
          </w:p>
        </w:tc>
        <w:tc>
          <w:tcPr>
            <w:tcW w:type="dxa" w:w="1728"/>
          </w:tcPr>
          <w:p>
            <w:r>
              <w:rPr>
                <w:rFonts w:ascii="Calibri" w:hAnsi="Calibri"/>
                <w:sz w:val="22"/>
              </w:rPr>
              <w:t>$7.148B</w:t>
            </w:r>
          </w:p>
        </w:tc>
        <w:tc>
          <w:tcPr>
            <w:tcW w:type="dxa" w:w="1728"/>
          </w:tcPr>
          <w:p>
            <w:r>
              <w:rPr>
                <w:rFonts w:ascii="Calibri" w:hAnsi="Calibri"/>
                <w:b/>
                <w:color w:val="30A46C"/>
                <w:sz w:val="22"/>
              </w:rPr>
              <w:t>+8.8%</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$6.341B</w:t>
            </w:r>
          </w:p>
        </w:tc>
        <w:tc>
          <w:tcPr>
            <w:tcW w:type="dxa" w:w="1728"/>
          </w:tcPr>
          <w:p>
            <w:r>
              <w:rPr>
                <w:rFonts w:ascii="Calibri" w:hAnsi="Calibri"/>
                <w:sz w:val="22"/>
              </w:rPr>
              <w:t>$5.800B</w:t>
            </w:r>
          </w:p>
        </w:tc>
        <w:tc>
          <w:tcPr>
            <w:tcW w:type="dxa" w:w="1728"/>
          </w:tcPr>
          <w:p>
            <w:r>
              <w:rPr>
                <w:rFonts w:ascii="Calibri" w:hAnsi="Calibri"/>
                <w:b/>
                <w:color w:val="30A46C"/>
                <w:sz w:val="22"/>
              </w:rPr>
              <w:t>+9.3%</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$7.274B</w:t>
            </w:r>
          </w:p>
        </w:tc>
        <w:tc>
          <w:tcPr>
            <w:tcW w:type="dxa" w:w="1728"/>
          </w:tcPr>
          <w:p>
            <w:r>
              <w:rPr>
                <w:rFonts w:ascii="Calibri" w:hAnsi="Calibri"/>
                <w:sz w:val="22"/>
              </w:rPr>
              <w:t>$6.951B</w:t>
            </w:r>
          </w:p>
        </w:tc>
        <w:tc>
          <w:tcPr>
            <w:tcW w:type="dxa" w:w="1728"/>
          </w:tcPr>
          <w:p>
            <w:r>
              <w:rPr>
                <w:rFonts w:ascii="Calibri" w:hAnsi="Calibri"/>
                <w:b/>
                <w:color w:val="30A46C"/>
                <w:sz w:val="22"/>
              </w:rPr>
              <w:t>+4.6%</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$6.463B</w:t>
            </w:r>
          </w:p>
        </w:tc>
        <w:tc>
          <w:tcPr>
            <w:tcW w:type="dxa" w:w="1728"/>
          </w:tcPr>
          <w:p>
            <w:r>
              <w:rPr>
                <w:rFonts w:ascii="Calibri" w:hAnsi="Calibri"/>
                <w:sz w:val="22"/>
              </w:rPr>
              <w:t>$6.035B</w:t>
            </w:r>
          </w:p>
        </w:tc>
        <w:tc>
          <w:tcPr>
            <w:tcW w:type="dxa" w:w="1728"/>
          </w:tcPr>
          <w:p>
            <w:r>
              <w:rPr>
                <w:rFonts w:ascii="Calibri" w:hAnsi="Calibri"/>
                <w:b/>
                <w:color w:val="30A46C"/>
                <w:sz w:val="22"/>
              </w:rPr>
              <w:t>+7.1%</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SO has beaten revenue consensus in all 8 of the last 8 quarters, with an average beat of +7.2%; the consistent outperformance reflects the Street’s tendency to underestimate load growth and rate base expansion.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unchanged since the Q1 2026 earnings call — management set Q2 EPS at $1.00 and reaffirmed the multi-year EPS framework through 2028. </w:t>
      </w:r>
      <w:r>
        <w:rPr>
          <w:rFonts w:ascii="Calibri" w:hAnsi="Calibri"/>
          <w:b/>
          <w:color w:val="525866"/>
          <w:sz w:val="22"/>
        </w:rPr>
        <w:t>Tone has shifted more confident</w:t>
      </w:r>
      <w:r>
        <w:rPr>
          <w:rFonts w:ascii="Calibri" w:hAnsi="Calibri"/>
          <w:color w:val="525866"/>
          <w:sz w:val="22"/>
        </w:rPr>
        <w:t>, with the DOE loan package and accelerating large load pipeline reducing financing risk and reinforcing the durability of the 7–8% long-term growth trajectory.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Adjusted EPS</w:t>
            </w:r>
          </w:p>
        </w:tc>
        <w:tc>
          <w:tcPr>
            <w:tcW w:type="dxa" w:w="1728"/>
          </w:tcPr>
          <w:p>
            <w:r>
              <w:rPr>
                <w:rFonts w:ascii="Calibri" w:hAnsi="Calibri"/>
                <w:sz w:val="22"/>
              </w:rPr>
              <w:t>$1.00 per share</w:t>
            </w:r>
          </w:p>
        </w:tc>
        <w:tc>
          <w:tcPr>
            <w:tcW w:type="dxa" w:w="1728"/>
          </w:tcPr>
          <w:p>
            <w:r>
              <w:rPr>
                <w:rFonts w:ascii="Calibri" w:hAnsi="Calibri"/>
                <w:sz w:val="22"/>
              </w:rPr>
              <w:t>—</w:t>
            </w:r>
          </w:p>
        </w:tc>
        <w:tc>
          <w:tcPr>
            <w:tcW w:type="dxa" w:w="1728"/>
          </w:tcPr>
          <w:p>
            <w:r>
              <w:rPr>
                <w:rFonts w:ascii="Calibri" w:hAnsi="Calibri"/>
                <w:sz w:val="22"/>
              </w:rPr>
              <w:t>$0.98</w:t>
            </w:r>
          </w:p>
        </w:tc>
        <w:tc>
          <w:tcPr>
            <w:tcW w:type="dxa" w:w="1728"/>
          </w:tcPr>
          <w:p>
            <w:r>
              <w:rPr>
                <w:rFonts w:ascii="Calibri" w:hAnsi="Calibri"/>
                <w:sz w:val="22"/>
              </w:rPr>
              <w:t>Unchanged; consensus sits 2% below mgmt estimate — low bar</w:t>
            </w:r>
          </w:p>
        </w:tc>
      </w:tr>
      <w:tr>
        <w:tc>
          <w:tcPr>
            <w:tcW w:type="dxa" w:w="1728"/>
          </w:tcPr>
          <w:p>
            <w:r>
              <w:rPr>
                <w:rFonts w:ascii="Calibri" w:hAnsi="Calibri"/>
                <w:sz w:val="22"/>
              </w:rPr>
              <w:t>FY2026 Adjusted EPS</w:t>
            </w:r>
          </w:p>
        </w:tc>
        <w:tc>
          <w:tcPr>
            <w:tcW w:type="dxa" w:w="1728"/>
          </w:tcPr>
          <w:p>
            <w:r>
              <w:rPr>
                <w:rFonts w:ascii="Calibri" w:hAnsi="Calibri"/>
                <w:sz w:val="22"/>
              </w:rPr>
              <w:t>$3.95–$4.05 range (midpoint ~$4.00)</w:t>
            </w:r>
          </w:p>
        </w:tc>
        <w:tc>
          <w:tcPr>
            <w:tcW w:type="dxa" w:w="1728"/>
          </w:tcPr>
          <w:p>
            <w:r>
              <w:rPr>
                <w:rFonts w:ascii="Calibri" w:hAnsi="Calibri"/>
                <w:sz w:val="22"/>
              </w:rPr>
              <w:t>—</w:t>
            </w:r>
          </w:p>
        </w:tc>
        <w:tc>
          <w:tcPr>
            <w:tcW w:type="dxa" w:w="1728"/>
          </w:tcPr>
          <w:p>
            <w:r>
              <w:rPr>
                <w:rFonts w:ascii="Calibri" w:hAnsi="Calibri"/>
                <w:sz w:val="22"/>
              </w:rPr>
              <w:t>$4.57</w:t>
            </w:r>
          </w:p>
        </w:tc>
        <w:tc>
          <w:tcPr>
            <w:tcW w:type="dxa" w:w="1728"/>
          </w:tcPr>
          <w:p>
            <w:r>
              <w:rPr>
                <w:rFonts w:ascii="Calibri" w:hAnsi="Calibri"/>
                <w:sz w:val="22"/>
              </w:rPr>
              <w:t>Consensus above midpoint; reflects strong Q1 beat carry-through</w:t>
            </w:r>
          </w:p>
        </w:tc>
      </w:tr>
      <w:tr>
        <w:tc>
          <w:tcPr>
            <w:tcW w:type="dxa" w:w="1728"/>
          </w:tcPr>
          <w:p>
            <w:r>
              <w:rPr>
                <w:rFonts w:ascii="Calibri" w:hAnsi="Calibri"/>
                <w:sz w:val="22"/>
              </w:rPr>
              <w:t>FY2027 Adjusted EPS</w:t>
            </w:r>
          </w:p>
        </w:tc>
        <w:tc>
          <w:tcPr>
            <w:tcW w:type="dxa" w:w="1728"/>
          </w:tcPr>
          <w:p>
            <w:r>
              <w:rPr>
                <w:rFonts w:ascii="Calibri" w:hAnsi="Calibri"/>
                <w:sz w:val="22"/>
              </w:rPr>
              <w:t>~8% growth off 2026 midpoint (implied ~$4.32)</w:t>
            </w:r>
          </w:p>
        </w:tc>
        <w:tc>
          <w:tcPr>
            <w:tcW w:type="dxa" w:w="1728"/>
          </w:tcPr>
          <w:p>
            <w:r>
              <w:rPr>
                <w:rFonts w:ascii="Calibri" w:hAnsi="Calibri"/>
                <w:sz w:val="22"/>
              </w:rPr>
              <w:t>—</w:t>
            </w:r>
          </w:p>
        </w:tc>
        <w:tc>
          <w:tcPr>
            <w:tcW w:type="dxa" w:w="1728"/>
          </w:tcPr>
          <w:p>
            <w:r>
              <w:rPr>
                <w:rFonts w:ascii="Calibri" w:hAnsi="Calibri"/>
                <w:sz w:val="22"/>
              </w:rPr>
              <w:t>$4.93</w:t>
            </w:r>
          </w:p>
        </w:tc>
        <w:tc>
          <w:tcPr>
            <w:tcW w:type="dxa" w:w="1728"/>
          </w:tcPr>
          <w:p>
            <w:r>
              <w:rPr>
                <w:rFonts w:ascii="Calibri" w:hAnsi="Calibri"/>
                <w:sz w:val="22"/>
              </w:rPr>
              <w:t>Street pricing in above-guidance growth; upside from Southern Power recontracting</w:t>
            </w:r>
          </w:p>
        </w:tc>
      </w:tr>
      <w:tr>
        <w:tc>
          <w:tcPr>
            <w:tcW w:type="dxa" w:w="1728"/>
          </w:tcPr>
          <w:p>
            <w:r>
              <w:rPr>
                <w:rFonts w:ascii="Calibri" w:hAnsi="Calibri"/>
                <w:sz w:val="22"/>
              </w:rPr>
              <w:t>Long-Term EPS Growth Rate</w:t>
            </w:r>
          </w:p>
        </w:tc>
        <w:tc>
          <w:tcPr>
            <w:tcW w:type="dxa" w:w="1728"/>
          </w:tcPr>
          <w:p>
            <w:r>
              <w:rPr>
                <w:rFonts w:ascii="Calibri" w:hAnsi="Calibri"/>
                <w:sz w:val="22"/>
              </w:rPr>
              <w:t>~7–8% avg annual through 2030 (from 2026 midpoint)</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potential upside from incremental large load capital and Southern Power</w:t>
            </w:r>
          </w:p>
        </w:tc>
      </w:tr>
      <w:tr>
        <w:tc>
          <w:tcPr>
            <w:tcW w:type="dxa" w:w="1728"/>
          </w:tcPr>
          <w:p>
            <w:r>
              <w:rPr>
                <w:rFonts w:ascii="Calibri" w:hAnsi="Calibri"/>
                <w:sz w:val="22"/>
              </w:rPr>
              <w:t>Equity Financing Need (through 2030)</w:t>
            </w:r>
          </w:p>
        </w:tc>
        <w:tc>
          <w:tcPr>
            <w:tcW w:type="dxa" w:w="1728"/>
          </w:tcPr>
          <w:p>
            <w:r>
              <w:rPr>
                <w:rFonts w:ascii="Calibri" w:hAnsi="Calibri"/>
                <w:sz w:val="22"/>
              </w:rPr>
              <w:t>~$1.8B remaining (post-DOE loan)</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DOE $26.5B loan package (Feb 2026) reduced equity need; ATM program active</w:t>
            </w:r>
          </w:p>
        </w:tc>
      </w:tr>
      <w:tr>
        <w:tc>
          <w:tcPr>
            <w:tcW w:type="dxa" w:w="1728"/>
          </w:tcPr>
          <w:p>
            <w:r>
              <w:rPr>
                <w:rFonts w:ascii="Calibri" w:hAnsi="Calibri"/>
                <w:sz w:val="22"/>
              </w:rPr>
              <w:t>FFO / Debt Target</w:t>
            </w:r>
          </w:p>
        </w:tc>
        <w:tc>
          <w:tcPr>
            <w:tcW w:type="dxa" w:w="1728"/>
          </w:tcPr>
          <w:p>
            <w:r>
              <w:rPr>
                <w:rFonts w:ascii="Calibri" w:hAnsi="Calibri"/>
                <w:sz w:val="22"/>
              </w:rPr>
              <w:t>~17% by 2029</w:t>
            </w:r>
          </w:p>
        </w:tc>
        <w:tc>
          <w:tcPr>
            <w:tcW w:type="dxa" w:w="1728"/>
          </w:tcPr>
          <w:p>
            <w:r>
              <w:rPr>
                <w:rFonts w:ascii="Calibri" w:hAnsi="Calibri"/>
                <w:sz w:val="22"/>
              </w:rPr>
              <w:t>—</w:t>
            </w:r>
          </w:p>
        </w:tc>
        <w:tc>
          <w:tcPr>
            <w:tcW w:type="dxa" w:w="1728"/>
          </w:tcPr>
          <w:p>
            <w:r>
              <w:rPr>
                <w:rFonts w:ascii="Calibri" w:hAnsi="Calibri"/>
                <w:sz w:val="22"/>
              </w:rPr>
              <w:t>14.7% (Q2 2026 consensus)</w:t>
            </w:r>
          </w:p>
        </w:tc>
        <w:tc>
          <w:tcPr>
            <w:tcW w:type="dxa" w:w="1728"/>
          </w:tcPr>
          <w:p>
            <w:r>
              <w:rPr>
                <w:rFonts w:ascii="Calibri" w:hAnsi="Calibri"/>
                <w:sz w:val="22"/>
              </w:rPr>
              <w:t>On track; improving trajectory as equity issuances materialize</w:t>
            </w:r>
          </w:p>
        </w:tc>
      </w:tr>
      <w:tr>
        <w:tc>
          <w:tcPr>
            <w:tcW w:type="dxa" w:w="1728"/>
          </w:tcPr>
          <w:p>
            <w:r>
              <w:rPr>
                <w:rFonts w:ascii="Calibri" w:hAnsi="Calibri"/>
                <w:sz w:val="22"/>
              </w:rPr>
              <w:t>Large Load Contracted (GW)</w:t>
            </w:r>
          </w:p>
        </w:tc>
        <w:tc>
          <w:tcPr>
            <w:tcW w:type="dxa" w:w="1728"/>
          </w:tcPr>
          <w:p>
            <w:r>
              <w:rPr>
                <w:rFonts w:ascii="Calibri" w:hAnsi="Calibri"/>
                <w:sz w:val="22"/>
              </w:rPr>
              <w:t>&gt;11 GW contracted; 12 GW late-stage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Pipeline of 75+ GW prospective interest; 6 GW of late-stage expected to finalize near-term</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flat since the Q1 2026 print — FY2026 consensus EPS moved from $4.58 to $4.57 and FY2027 from $4.93 to $4.93, suggesting the Street has absorbed the Q1 beat without meaningfully revising forward numbers. </w:t>
      </w:r>
      <w:r>
        <w:rPr>
          <w:rFonts w:ascii="Calibri" w:hAnsi="Calibri"/>
          <w:b/>
          <w:color w:val="525866"/>
          <w:sz w:val="22"/>
        </w:rPr>
        <w:t>The gap between consensus and management’s own guidance midpoint represents cushion, not risk</w:t>
      </w:r>
      <w:r>
        <w:rPr>
          <w:rFonts w:ascii="Calibri" w:hAnsi="Calibri"/>
          <w:color w:val="525866"/>
          <w:sz w:val="22"/>
        </w:rPr>
        <w:t>, as the Street has not yet incorporated potential upside from Southern Power recontracting or incremental large load capital above the base plan.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5,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$1.020</w:t>
            </w:r>
          </w:p>
        </w:tc>
        <w:tc>
          <w:tcPr>
            <w:tcW w:type="dxa" w:w="1080"/>
          </w:tcPr>
          <w:p>
            <w:r>
              <w:rPr>
                <w:rFonts w:ascii="Calibri" w:hAnsi="Calibri"/>
                <w:sz w:val="22"/>
              </w:rPr>
              <w:t>$0.979</w:t>
            </w:r>
          </w:p>
        </w:tc>
        <w:tc>
          <w:tcPr>
            <w:tcW w:type="dxa" w:w="1080"/>
          </w:tcPr>
          <w:p>
            <w:r>
              <w:rPr>
                <w:rFonts w:ascii="Calibri" w:hAnsi="Calibri"/>
                <w:b/>
                <w:color w:val="E5484D"/>
                <w:sz w:val="22"/>
              </w:rPr>
              <w:t>-4.0%</w:t>
            </w:r>
          </w:p>
        </w:tc>
        <w:tc>
          <w:tcPr>
            <w:tcW w:type="dxa" w:w="1080"/>
          </w:tcPr>
          <w:p>
            <w:r>
              <w:rPr>
                <w:rFonts w:ascii="Calibri" w:hAnsi="Calibri"/>
                <w:sz w:val="22"/>
              </w:rPr>
              <w:t>$1.00</w:t>
            </w:r>
          </w:p>
        </w:tc>
        <w:tc>
          <w:tcPr>
            <w:tcW w:type="dxa" w:w="1080"/>
          </w:tcPr>
          <w:p>
            <w:r>
              <w:rPr>
                <w:rFonts w:ascii="Calibri" w:hAnsi="Calibri"/>
                <w:sz w:val="22"/>
              </w:rPr>
              <w:t>$1.00 (unchanged)</w:t>
            </w:r>
          </w:p>
        </w:tc>
        <w:tc>
          <w:tcPr>
            <w:tcW w:type="dxa" w:w="1080"/>
          </w:tcPr>
          <w:p>
            <w:r>
              <w:rPr>
                <w:rFonts w:ascii="Calibri" w:hAnsi="Calibri"/>
                <w:sz w:val="22"/>
              </w:rPr>
              <w:t>0%</w:t>
            </w:r>
          </w:p>
        </w:tc>
        <w:tc>
          <w:tcPr>
            <w:tcW w:type="dxa" w:w="1080"/>
          </w:tcPr>
          <w:p>
            <w:r>
              <w:rPr>
                <w:rFonts w:ascii="Calibri" w:hAnsi="Calibri"/>
                <w:sz w:val="22"/>
              </w:rPr>
              <w:t>-2.1%</w:t>
            </w:r>
          </w:p>
        </w:tc>
      </w:tr>
      <w:tr>
        <w:tc>
          <w:tcPr>
            <w:tcW w:type="dxa" w:w="1080"/>
          </w:tcPr>
          <w:p>
            <w:r>
              <w:rPr>
                <w:rFonts w:ascii="Calibri" w:hAnsi="Calibri"/>
                <w:sz w:val="22"/>
              </w:rPr>
              <w:t>Adj. EPS — FY2026</w:t>
            </w:r>
          </w:p>
        </w:tc>
        <w:tc>
          <w:tcPr>
            <w:tcW w:type="dxa" w:w="1080"/>
          </w:tcPr>
          <w:p>
            <w:r>
              <w:rPr>
                <w:rFonts w:ascii="Calibri" w:hAnsi="Calibri"/>
                <w:sz w:val="22"/>
              </w:rPr>
              <w:t>$4.583</w:t>
            </w:r>
          </w:p>
        </w:tc>
        <w:tc>
          <w:tcPr>
            <w:tcW w:type="dxa" w:w="1080"/>
          </w:tcPr>
          <w:p>
            <w:r>
              <w:rPr>
                <w:rFonts w:ascii="Calibri" w:hAnsi="Calibri"/>
                <w:sz w:val="22"/>
              </w:rPr>
              <w:t>$4.570</w:t>
            </w:r>
          </w:p>
        </w:tc>
        <w:tc>
          <w:tcPr>
            <w:tcW w:type="dxa" w:w="1080"/>
          </w:tcPr>
          <w:p>
            <w:r>
              <w:rPr>
                <w:rFonts w:ascii="Calibri" w:hAnsi="Calibri"/>
                <w:sz w:val="22"/>
              </w:rPr>
              <w:t>-0.3%</w:t>
            </w:r>
          </w:p>
        </w:tc>
        <w:tc>
          <w:tcPr>
            <w:tcW w:type="dxa" w:w="1080"/>
          </w:tcPr>
          <w:p>
            <w:r>
              <w:rPr>
                <w:rFonts w:ascii="Calibri" w:hAnsi="Calibri"/>
                <w:sz w:val="22"/>
              </w:rPr>
              <w:t>~$4.00 midpoint</w:t>
            </w:r>
          </w:p>
        </w:tc>
        <w:tc>
          <w:tcPr>
            <w:tcW w:type="dxa" w:w="1080"/>
          </w:tcPr>
          <w:p>
            <w:r>
              <w:rPr>
                <w:rFonts w:ascii="Calibri" w:hAnsi="Calibri"/>
                <w:sz w:val="22"/>
              </w:rPr>
              <w:t>~$4.00 midpoint (unchanged)</w:t>
            </w:r>
          </w:p>
        </w:tc>
        <w:tc>
          <w:tcPr>
            <w:tcW w:type="dxa" w:w="1080"/>
          </w:tcPr>
          <w:p>
            <w:r>
              <w:rPr>
                <w:rFonts w:ascii="Calibri" w:hAnsi="Calibri"/>
                <w:sz w:val="22"/>
              </w:rPr>
              <w:t>0%</w:t>
            </w:r>
          </w:p>
        </w:tc>
        <w:tc>
          <w:tcPr>
            <w:tcW w:type="dxa" w:w="1080"/>
          </w:tcPr>
          <w:p>
            <w:r>
              <w:rPr>
                <w:rFonts w:ascii="Calibri" w:hAnsi="Calibri"/>
                <w:sz w:val="22"/>
              </w:rPr>
              <w:t>+14.3% above midpoint</w:t>
            </w:r>
          </w:p>
        </w:tc>
      </w:tr>
      <w:tr>
        <w:tc>
          <w:tcPr>
            <w:tcW w:type="dxa" w:w="1080"/>
          </w:tcPr>
          <w:p>
            <w:r>
              <w:rPr>
                <w:rFonts w:ascii="Calibri" w:hAnsi="Calibri"/>
                <w:sz w:val="22"/>
              </w:rPr>
              <w:t>Adj. EPS — FY2027</w:t>
            </w:r>
          </w:p>
        </w:tc>
        <w:tc>
          <w:tcPr>
            <w:tcW w:type="dxa" w:w="1080"/>
          </w:tcPr>
          <w:p>
            <w:r>
              <w:rPr>
                <w:rFonts w:ascii="Calibri" w:hAnsi="Calibri"/>
                <w:sz w:val="22"/>
              </w:rPr>
              <w:t>$4.927</w:t>
            </w:r>
          </w:p>
        </w:tc>
        <w:tc>
          <w:tcPr>
            <w:tcW w:type="dxa" w:w="1080"/>
          </w:tcPr>
          <w:p>
            <w:r>
              <w:rPr>
                <w:rFonts w:ascii="Calibri" w:hAnsi="Calibri"/>
                <w:sz w:val="22"/>
              </w:rPr>
              <w:t>$4.920</w:t>
            </w:r>
          </w:p>
        </w:tc>
        <w:tc>
          <w:tcPr>
            <w:tcW w:type="dxa" w:w="1080"/>
          </w:tcPr>
          <w:p>
            <w:r>
              <w:rPr>
                <w:rFonts w:ascii="Calibri" w:hAnsi="Calibri"/>
                <w:sz w:val="22"/>
              </w:rPr>
              <w:t>-0.1%</w:t>
            </w:r>
          </w:p>
        </w:tc>
        <w:tc>
          <w:tcPr>
            <w:tcW w:type="dxa" w:w="1080"/>
          </w:tcPr>
          <w:p>
            <w:r>
              <w:rPr>
                <w:rFonts w:ascii="Calibri" w:hAnsi="Calibri"/>
                <w:sz w:val="22"/>
              </w:rPr>
              <w:t>~8% growth (implied ~$4.32)</w:t>
            </w:r>
          </w:p>
        </w:tc>
        <w:tc>
          <w:tcPr>
            <w:tcW w:type="dxa" w:w="1080"/>
          </w:tcPr>
          <w:p>
            <w:r>
              <w:rPr>
                <w:rFonts w:ascii="Calibri" w:hAnsi="Calibri"/>
                <w:sz w:val="22"/>
              </w:rPr>
              <w:t>~8% growth (unchanged)</w:t>
            </w:r>
          </w:p>
        </w:tc>
        <w:tc>
          <w:tcPr>
            <w:tcW w:type="dxa" w:w="1080"/>
          </w:tcPr>
          <w:p>
            <w:r>
              <w:rPr>
                <w:rFonts w:ascii="Calibri" w:hAnsi="Calibri"/>
                <w:sz w:val="22"/>
              </w:rPr>
              <w:t>0%</w:t>
            </w:r>
          </w:p>
        </w:tc>
        <w:tc>
          <w:tcPr>
            <w:tcW w:type="dxa" w:w="1080"/>
          </w:tcPr>
          <w:p>
            <w:r>
              <w:rPr>
                <w:rFonts w:ascii="Calibri" w:hAnsi="Calibri"/>
                <w:sz w:val="22"/>
              </w:rPr>
              <w:t>+13.9% above implied</w:t>
            </w:r>
          </w:p>
        </w:tc>
      </w:tr>
      <w:tr>
        <w:tc>
          <w:tcPr>
            <w:tcW w:type="dxa" w:w="1080"/>
          </w:tcPr>
          <w:p>
            <w:r>
              <w:rPr>
                <w:rFonts w:ascii="Calibri" w:hAnsi="Calibri"/>
                <w:sz w:val="22"/>
              </w:rPr>
              <w:t>Total Revenue — Q2 2026</w:t>
            </w:r>
          </w:p>
        </w:tc>
        <w:tc>
          <w:tcPr>
            <w:tcW w:type="dxa" w:w="1080"/>
          </w:tcPr>
          <w:p>
            <w:r>
              <w:rPr>
                <w:rFonts w:ascii="Calibri" w:hAnsi="Calibri"/>
                <w:sz w:val="22"/>
              </w:rPr>
              <w:t>$7.145B</w:t>
            </w:r>
          </w:p>
        </w:tc>
        <w:tc>
          <w:tcPr>
            <w:tcW w:type="dxa" w:w="1080"/>
          </w:tcPr>
          <w:p>
            <w:r>
              <w:rPr>
                <w:rFonts w:ascii="Calibri" w:hAnsi="Calibri"/>
                <w:sz w:val="22"/>
              </w:rPr>
              <w:t>$7.276B</w:t>
            </w:r>
          </w:p>
        </w:tc>
        <w:tc>
          <w:tcPr>
            <w:tcW w:type="dxa" w:w="1080"/>
          </w:tcPr>
          <w:p>
            <w:r>
              <w:rPr>
                <w:rFonts w:ascii="Calibri" w:hAnsi="Calibri"/>
                <w:b/>
                <w:color w:val="30A46C"/>
                <w:sz w:val="22"/>
              </w:rPr>
              <w:t>+1.8%</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$30.386B</w:t>
            </w:r>
          </w:p>
        </w:tc>
        <w:tc>
          <w:tcPr>
            <w:tcW w:type="dxa" w:w="1080"/>
          </w:tcPr>
          <w:p>
            <w:r>
              <w:rPr>
                <w:rFonts w:ascii="Calibri" w:hAnsi="Calibri"/>
                <w:sz w:val="22"/>
              </w:rPr>
              <w:t>$30.682B</w:t>
            </w:r>
          </w:p>
        </w:tc>
        <w:tc>
          <w:tcPr>
            <w:tcW w:type="dxa" w:w="1080"/>
          </w:tcPr>
          <w:p>
            <w:r>
              <w:rPr>
                <w:rFonts w:ascii="Calibri" w:hAnsi="Calibri"/>
                <w:b/>
                <w:color w:val="30A46C"/>
                <w:sz w:val="22"/>
              </w:rPr>
              <w:t>+1.0%</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Capital Additions — FY2026</w:t>
            </w:r>
          </w:p>
        </w:tc>
        <w:tc>
          <w:tcPr>
            <w:tcW w:type="dxa" w:w="1080"/>
          </w:tcPr>
          <w:p>
            <w:r>
              <w:rPr>
                <w:rFonts w:ascii="Calibri" w:hAnsi="Calibri"/>
                <w:sz w:val="22"/>
              </w:rPr>
              <w:t>$15.062B</w:t>
            </w:r>
          </w:p>
        </w:tc>
        <w:tc>
          <w:tcPr>
            <w:tcW w:type="dxa" w:w="1080"/>
          </w:tcPr>
          <w:p>
            <w:r>
              <w:rPr>
                <w:rFonts w:ascii="Calibri" w:hAnsi="Calibri"/>
                <w:sz w:val="22"/>
              </w:rPr>
              <w:t>$15.430B</w:t>
            </w:r>
          </w:p>
        </w:tc>
        <w:tc>
          <w:tcPr>
            <w:tcW w:type="dxa" w:w="1080"/>
          </w:tcPr>
          <w:p>
            <w:r>
              <w:rPr>
                <w:rFonts w:ascii="Calibri" w:hAnsi="Calibri"/>
                <w:b/>
                <w:color w:val="30A46C"/>
                <w:sz w:val="22"/>
              </w:rPr>
              <w:t>+2.4%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The modest downward drift in Q2 2026 EPS consensus (-4.0% since the Q1 print) likely reflects seasonal normalization rather than fundamental deterioration — the Q1 beat was driven partly by unusually strong data center usage ramps that may not fully repeat in Q2. Revenue estimates have actually ticked up +1.8% since the Q1 print, consistent with continued load growth momentum.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SO has essentially flatlined since the Q1 2026 earnings date (indexed return ~99.3 vs. base of 100), </w:t>
      </w:r>
      <w:r>
        <w:rPr>
          <w:rFonts w:ascii="Calibri" w:hAnsi="Calibri"/>
          <w:b/>
          <w:color w:val="525866"/>
          <w:sz w:val="22"/>
        </w:rPr>
        <w:t>underperforming the S&amp;P 500 (+1.5%) but outperforming XLU (-4.1%)</w:t>
      </w:r>
      <w:r>
        <w:rPr>
          <w:rFonts w:ascii="Calibri" w:hAnsi="Calibri"/>
          <w:color w:val="525866"/>
          <w:sz w:val="22"/>
        </w:rPr>
        <w:t xml:space="preserve"> — the divergence from SPY reflects the utility sector’s rate sensitivity headwinds, while SO’s outperformance vs. XLU reflects its superior growth profile and data center demand tailwind. The stock has not priced in a beat, leaving upside optionality into the print.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SO vs. XLU (Utilities ETF) vs. S&amp;P 500 (SPY) — Indexed to 100 at Q1 2026 Earnings Date (April 30, 2026). Source: Stock Price Data.</w:t>
      </w:r>
    </w:p>
    <w:p>
      <w:r>
        <w:rPr>
          <w:rFonts w:ascii="Calibri" w:hAnsi="Calibri"/>
          <w:color w:val="525866"/>
          <w:sz w:val="22"/>
        </w:rPr>
        <w:t>Since the Q1 2026 earnings date (April 30, 2026), SO closed at $96.05 on July 28 vs. the $96.70 base (indexed return: 99.3). XLU declined to an indexed 95.9, reflecting broader utility sector pressure from higher-for-longer rate concerns. SPY advanced to 101.5, driven by risk-on sentiment and tech sector strength. SO’s relative outperformance vs. XLU of approximately +4 percentage points reflects the market’s recognition of SO’s differentiated data center growth story. The stock dipped to a low of ~$89 in early June before recovering, likely on rate/macro concerns, then rebounded as large load pipeline news and peer utility commentary reinforced the Southeast demand thesis. No analyst rating changes were identified in the period. Source: Stock Price Data.</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continued acceleration of the large load pipeline — SO signed 1.9 GW of new contracts in the two months following Q1 earnings, bringing total contracted load to &gt;11 GW, and the Georgia Power all-source RFP for 2–6 GW of new dispatchable generation is advancing toward a year-end conclusion. These developments directly support the durability of the 7–8% long-term EPS growth framework.</w:t>
      </w:r>
    </w:p>
    <w:p>
      <w:pPr>
        <w:pStyle w:val="ListBullet"/>
        <w:ind w:left="360" w:hanging="360"/>
      </w:pPr>
      <w:r>
        <w:rPr>
          <w:rFonts w:ascii="Calibri" w:hAnsi="Calibri"/>
          <w:b/>
          <w:color w:val="525866"/>
          <w:sz w:val="22"/>
        </w:rPr>
        <w:t>April 30, 2026 — Q1 2026 Earnings Beat &amp; Q2 Guidance Set:</w:t>
      </w:r>
      <w:r>
        <w:rPr>
          <w:rFonts w:ascii="Calibri" w:hAnsi="Calibri"/>
          <w:color w:val="525866"/>
          <w:sz w:val="22"/>
        </w:rPr>
        <w:t xml:space="preserve"> Adjusted EPS of $1.32 beat consensus by $0.09 and management’s own estimate by $0.12. Data center usage +42% YoY. Q2 2026 EPS estimate set at $1.00. Contracted large load reached &gt;11 GW; late-stage pipeline expanded to 12 GW (+2 GW QoQ). </w:t>
      </w:r>
      <w:r>
        <w:rPr>
          <w:rFonts w:ascii="Calibri" w:hAnsi="Calibri"/>
          <w:i/>
          <w:color w:val="525866"/>
          <w:sz w:val="22"/>
        </w:rPr>
        <w:t>Implication: Sets a high-quality baseline and raises the bar for Q2 execution.</w:t>
      </w:r>
    </w:p>
    <w:p>
      <w:pPr>
        <w:pStyle w:val="ListBullet"/>
        <w:ind w:left="360" w:hanging="360"/>
      </w:pPr>
      <w:r>
        <w:rPr>
          <w:rFonts w:ascii="Calibri" w:hAnsi="Calibri"/>
          <w:b/>
          <w:color w:val="525866"/>
          <w:sz w:val="22"/>
        </w:rPr>
        <w:t>April 30, 2026 — DOE Loan Package ($26.5B) Confirmed:</w:t>
      </w:r>
      <w:r>
        <w:rPr>
          <w:rFonts w:ascii="Calibri" w:hAnsi="Calibri"/>
          <w:color w:val="525866"/>
          <w:sz w:val="22"/>
        </w:rPr>
        <w:t xml:space="preserve"> Historic DOE loan agreements expected to generate $7B in cumulative customer savings over ~30 years and reduce remaining equity need to ~$1.8B through 2030. ATM program sourced incremental $500M of equity with forward contracts settling by 2028. </w:t>
      </w:r>
      <w:r>
        <w:rPr>
          <w:rFonts w:ascii="Calibri" w:hAnsi="Calibri"/>
          <w:i/>
          <w:color w:val="525866"/>
          <w:sz w:val="22"/>
        </w:rPr>
        <w:t>Implication: Materially de-risks the financing plan and reduces capital markets overhang.</w:t>
      </w:r>
    </w:p>
    <w:p>
      <w:pPr>
        <w:pStyle w:val="ListBullet"/>
        <w:ind w:left="360" w:hanging="360"/>
      </w:pPr>
      <w:r>
        <w:rPr>
          <w:rFonts w:ascii="Calibri" w:hAnsi="Calibri"/>
          <w:b/>
          <w:color w:val="525866"/>
          <w:sz w:val="22"/>
        </w:rPr>
        <w:t>April 30, 2026 — Annual Dividend Raised to $3.04/share:</w:t>
      </w:r>
      <w:r>
        <w:rPr>
          <w:rFonts w:ascii="Calibri" w:hAnsi="Calibri"/>
          <w:color w:val="525866"/>
          <w:sz w:val="22"/>
        </w:rPr>
        <w:t xml:space="preserve"> 25th consecutive annual increase; 79th consecutive year of dividend equal to or greater than prior year. Annualized rate raised by $0.08/share. </w:t>
      </w:r>
      <w:r>
        <w:rPr>
          <w:rFonts w:ascii="Calibri" w:hAnsi="Calibri"/>
          <w:i/>
          <w:color w:val="525866"/>
          <w:sz w:val="22"/>
        </w:rPr>
        <w:t>Implication: Reinforces income investor appeal and management confidence in earnings durability.</w:t>
      </w:r>
    </w:p>
    <w:p>
      <w:pPr>
        <w:pStyle w:val="ListBullet"/>
        <w:ind w:left="360" w:hanging="360"/>
      </w:pPr>
      <w:r>
        <w:rPr>
          <w:rFonts w:ascii="Calibri" w:hAnsi="Calibri"/>
          <w:b/>
          <w:color w:val="525866"/>
          <w:sz w:val="22"/>
        </w:rPr>
        <w:t>April 30, 2026 — Georgia Power All-Source RFP Initiated:</w:t>
      </w:r>
      <w:r>
        <w:rPr>
          <w:rFonts w:ascii="Calibri" w:hAnsi="Calibri"/>
          <w:color w:val="525866"/>
          <w:sz w:val="22"/>
        </w:rPr>
        <w:t xml:space="preserve"> Regulatory process launched to procure 2–6 GW of new dispatchable generation (thermal, battery storage, renewables) for service in 2032–2033. RFP expected to conclude by end of 2026; certification through 2027. </w:t>
      </w:r>
      <w:r>
        <w:rPr>
          <w:rFonts w:ascii="Calibri" w:hAnsi="Calibri"/>
          <w:i/>
          <w:color w:val="525866"/>
          <w:sz w:val="22"/>
        </w:rPr>
        <w:t>Implication: If company-owned resources are selected, represents substantial incremental capital above the current base plan — a potential re-rating catalyst.</w:t>
      </w:r>
    </w:p>
    <w:p>
      <w:pPr>
        <w:pStyle w:val="ListBullet"/>
        <w:ind w:left="360" w:hanging="360"/>
      </w:pPr>
      <w:r>
        <w:rPr>
          <w:rFonts w:ascii="Calibri" w:hAnsi="Calibri"/>
          <w:b/>
          <w:color w:val="525866"/>
          <w:sz w:val="22"/>
        </w:rPr>
        <w:t>April 30, 2026 — Southern Power Gas Turbine Upgrades Announced:</w:t>
      </w:r>
      <w:r>
        <w:rPr>
          <w:rFonts w:ascii="Calibri" w:hAnsi="Calibri"/>
          <w:color w:val="525866"/>
          <w:sz w:val="22"/>
        </w:rPr>
        <w:t xml:space="preserve"> 400 MW of additional capacity through natural gas turbine upgrades at existing Alabama and Georgia facilities; commercial operation 2029–2031. ~$700M incremental capital addition. Additional 300 MW of uprates under evaluation. </w:t>
      </w:r>
      <w:r>
        <w:rPr>
          <w:rFonts w:ascii="Calibri" w:hAnsi="Calibri"/>
          <w:i/>
          <w:color w:val="525866"/>
          <w:sz w:val="22"/>
        </w:rPr>
        <w:t>Implication: Adds ~$700M to capital plan and represents upside to the 7–8% growth trajectory.</w:t>
      </w:r>
    </w:p>
    <w:p>
      <w:pPr>
        <w:pStyle w:val="ListBullet"/>
        <w:ind w:left="360" w:hanging="360"/>
      </w:pPr>
      <w:r>
        <w:rPr>
          <w:rFonts w:ascii="Calibri" w:hAnsi="Calibri"/>
          <w:b/>
          <w:color w:val="525866"/>
          <w:sz w:val="22"/>
        </w:rPr>
        <w:t>May 15, 2026 — Shareholder Meeting: Charter Amendments Approved, Activist Proposals Rejected:</w:t>
      </w:r>
      <w:r>
        <w:rPr>
          <w:rFonts w:ascii="Calibri" w:hAnsi="Calibri"/>
          <w:color w:val="525866"/>
          <w:sz w:val="22"/>
        </w:rPr>
        <w:t xml:space="preserve"> Shareholders approved charter amendments and rebuffed activist proposals. </w:t>
      </w:r>
      <w:r>
        <w:rPr>
          <w:rFonts w:ascii="Calibri" w:hAnsi="Calibri"/>
          <w:i/>
          <w:color w:val="525866"/>
          <w:sz w:val="22"/>
        </w:rPr>
        <w:t>Implication: Removes governance overhang; management retains strategic flexibility.</w:t>
      </w:r>
    </w:p>
    <w:p>
      <w:pPr>
        <w:pStyle w:val="ListBullet"/>
        <w:ind w:left="360" w:hanging="360"/>
      </w:pPr>
      <w:r>
        <w:rPr>
          <w:rFonts w:ascii="Calibri" w:hAnsi="Calibri"/>
          <w:b/>
          <w:color w:val="525866"/>
          <w:sz w:val="22"/>
        </w:rPr>
        <w:t>June 25, 2026 — Q2 2026 Earnings Date Announced:</w:t>
      </w:r>
      <w:r>
        <w:rPr>
          <w:rFonts w:ascii="Calibri" w:hAnsi="Calibri"/>
          <w:color w:val="525866"/>
          <w:sz w:val="22"/>
        </w:rPr>
        <w:t xml:space="preserve"> SO confirmed Q2 2026 results to be released July 30, 2026 before market open, with earnings call at 1 PM ET. CEO Christopher C. Womack and CFO David P. Poroch to present. </w:t>
      </w:r>
      <w:r>
        <w:rPr>
          <w:rFonts w:ascii="Calibri" w:hAnsi="Calibri"/>
          <w:i/>
          <w:color w:val="525866"/>
          <w:sz w:val="22"/>
        </w:rPr>
        <w:t>Implication: Routine announcement; no pre-announcement or guidance revision.</w:t>
      </w:r>
    </w:p>
    <w:p>
      <w:pPr>
        <w:pStyle w:val="ListBullet"/>
        <w:ind w:left="360" w:hanging="360"/>
      </w:pPr>
      <w:r>
        <w:rPr>
          <w:rFonts w:ascii="Calibri" w:hAnsi="Calibri"/>
          <w:b/>
          <w:color w:val="525866"/>
          <w:sz w:val="22"/>
        </w:rPr>
        <w:t>Ongoing — Large Load Pipeline Momentum:</w:t>
      </w:r>
      <w:r>
        <w:rPr>
          <w:rFonts w:ascii="Calibri" w:hAnsi="Calibri"/>
          <w:color w:val="525866"/>
          <w:sz w:val="22"/>
        </w:rPr>
        <w:t xml:space="preserve"> Prospective pipeline of interest from large load customers exceeds 75 GW. Approximately 6 GW of the 12 GW late-stage pipeline expected to finalize with executed contracts in the near term. Activity migrating to Alabama and Mississippi in addition to Georgia. </w:t>
      </w:r>
      <w:r>
        <w:rPr>
          <w:rFonts w:ascii="Calibri" w:hAnsi="Calibri"/>
          <w:i/>
          <w:color w:val="525866"/>
          <w:sz w:val="22"/>
        </w:rPr>
        <w:t>Implication: Continued pipeline conversion is the primary upside driver to the base capital plan.</w:t>
      </w:r>
    </w:p>
    <w:p>
      <w:pPr>
        <w:pStyle w:val="ListBullet"/>
        <w:ind w:left="360" w:hanging="360"/>
      </w:pPr>
      <w:r>
        <w:rPr>
          <w:rFonts w:ascii="Calibri" w:hAnsi="Calibri"/>
          <w:b/>
          <w:color w:val="525866"/>
          <w:sz w:val="22"/>
        </w:rPr>
        <w:t>Ongoing — White House Ratepayer Protection Pledge:</w:t>
      </w:r>
      <w:r>
        <w:rPr>
          <w:rFonts w:ascii="Calibri" w:hAnsi="Calibri"/>
          <w:color w:val="525866"/>
          <w:sz w:val="22"/>
        </w:rPr>
        <w:t xml:space="preserve"> Multiple utilities (NEE, ETR, D, and others) signed the White House’s Ratepayer Protection Pledge in late July 2026, reinforcing the principle that large load customers pay their fair share. SO’s existing contract structure already embeds this principle. </w:t>
      </w:r>
      <w:r>
        <w:rPr>
          <w:rFonts w:ascii="Calibri" w:hAnsi="Calibri"/>
          <w:i/>
          <w:color w:val="525866"/>
          <w:sz w:val="22"/>
        </w:rPr>
        <w:t>Implication: Regulatory/political tailwind that validates SO’s existing approach and reduces risk of adverse rate design changes.</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 xml:space="preserve">Peers reporting Q2 2026 results this week (NEE, DTE, CMS, CNP, ETR) universally confirm that </w:t>
      </w:r>
      <w:r>
        <w:rPr>
          <w:rFonts w:ascii="Calibri" w:hAnsi="Calibri"/>
          <w:b/>
          <w:color w:val="525866"/>
          <w:sz w:val="22"/>
        </w:rPr>
        <w:t>data center demand momentum is accelerating, not decelerating</w:t>
      </w:r>
      <w:r>
        <w:rPr>
          <w:rFonts w:ascii="Calibri" w:hAnsi="Calibri"/>
          <w:color w:val="525866"/>
          <w:sz w:val="22"/>
        </w:rPr>
        <w:t xml:space="preserve"> — a direct positive read-through for SO’s large load thesis. All peers reaffirmed or raised full-year guidance, and several highlighted that large load tariff structures (protecting existing customers) are gaining regulatory and political support, validating SO’s existing contract framework.</w:t>
      </w:r>
    </w:p>
    <w:p>
      <w:r>
        <w:rPr>
          <w:rFonts w:ascii="Calibri" w:hAnsi="Calibri"/>
          <w:b/>
          <w:color w:val="525866"/>
          <w:sz w:val="22"/>
        </w:rPr>
        <w:t xml:space="preserve">Note: </w:t>
      </w:r>
      <w:r>
        <w:rPr>
          <w:rFonts w:ascii="Calibri" w:hAnsi="Calibri"/>
          <w:i/>
          <w:color w:val="525866"/>
          <w:sz w:val="22"/>
        </w:rPr>
        <w:t>Only Q2 2026 earnings calls and post-Q1 2026 commentary about current-quarter or forward trends are included below. Q1 2026 earnings calls discussing Q1 results only are excluded.</w:t>
      </w:r>
    </w:p>
    <w:p>
      <w:pPr>
        <w:pStyle w:val="Heading3"/>
      </w:pPr>
      <w:r>
        <w:rPr>
          <w:rFonts w:ascii="Calibri" w:hAnsi="Calibri"/>
          <w:b/>
          <w:color w:val="3B4259"/>
          <w:sz w:val="24"/>
        </w:rPr>
        <w:t>NextEra Energy (NEE) — Q2 2026 Earnings Call (July 24, 2026)</w:t>
      </w:r>
    </w:p>
    <w:p>
      <w:r>
        <w:rPr>
          <w:rFonts w:ascii="Calibri" w:hAnsi="Calibri"/>
          <w:b/>
          <w:color w:val="525866"/>
          <w:sz w:val="22"/>
        </w:rPr>
        <w:t xml:space="preserve">Relevance to SO: </w:t>
      </w:r>
      <w:r>
        <w:rPr>
          <w:rFonts w:ascii="Calibri" w:hAnsi="Calibri"/>
          <w:color w:val="525866"/>
          <w:sz w:val="22"/>
        </w:rPr>
        <w:t>High — NEE’s FPL serves Florida (adjacent Southeast market) and Energy Resources is the largest U.S. renewables developer; NEE’s large load commentary is the most direct read-through for SO’s data center demand thesis.</w:t>
      </w:r>
    </w:p>
    <w:p>
      <w:pPr>
        <w:pStyle w:val="ListBullet"/>
        <w:ind w:left="360" w:hanging="360"/>
      </w:pPr>
      <w:r>
        <w:rPr>
          <w:rFonts w:ascii="Calibri" w:hAnsi="Calibri"/>
          <w:b/>
          <w:color w:val="525866"/>
          <w:sz w:val="22"/>
        </w:rPr>
        <w:t>Large load demand accelerating at FPL:</w:t>
      </w:r>
      <w:r>
        <w:rPr>
          <w:rFonts w:ascii="Calibri" w:hAnsi="Calibri"/>
          <w:color w:val="525866"/>
          <w:sz w:val="22"/>
        </w:rPr>
        <w:t xml:space="preserve"> NEE updated FPL’s large load expectations from 6 GW to </w:t>
      </w:r>
      <w:r>
        <w:rPr>
          <w:rFonts w:ascii="Calibri" w:hAnsi="Calibri"/>
          <w:b/>
          <w:color w:val="525866"/>
          <w:sz w:val="22"/>
        </w:rPr>
        <w:t>8 GW by 2032</w:t>
      </w:r>
      <w:r>
        <w:rPr>
          <w:rFonts w:ascii="Calibri" w:hAnsi="Calibri"/>
          <w:color w:val="525866"/>
          <w:sz w:val="22"/>
        </w:rPr>
        <w:t xml:space="preserve"> as part of its new four-year rate agreement signed in May 2026. FPL has ~21 GW of large load interest with 12 GW in advanced discussions. NEE expects to announce at least one large load transaction under FPL’s tariff by year-end. </w:t>
      </w:r>
      <w:r>
        <w:rPr>
          <w:rFonts w:ascii="Calibri" w:hAnsi="Calibri"/>
          <w:i/>
          <w:color w:val="525866"/>
          <w:sz w:val="22"/>
        </w:rPr>
        <w:t>SO Read-Through: Confirms Southeast demand is real and accelerating; SO’s 75+ GW pipeline is credible.</w:t>
      </w:r>
    </w:p>
    <w:p>
      <w:pPr>
        <w:pStyle w:val="ListBullet"/>
        <w:ind w:left="360" w:hanging="360"/>
      </w:pPr>
      <w:r>
        <w:rPr>
          <w:rFonts w:ascii="Calibri" w:hAnsi="Calibri"/>
          <w:b/>
          <w:color w:val="525866"/>
          <w:sz w:val="22"/>
        </w:rPr>
        <w:t>Ratepayer Protection Pledge:</w:t>
      </w:r>
      <w:r>
        <w:rPr>
          <w:rFonts w:ascii="Calibri" w:hAnsi="Calibri"/>
          <w:color w:val="525866"/>
          <w:sz w:val="22"/>
        </w:rPr>
        <w:t xml:space="preserve"> NEE (along with Dominion and other utilities) announced support for the White House’s Ratepayer Protection Pledge, reinforcing that large load customers pay their fair share. Florida’s governor signed a bill codifying FPL’s large load tariff into law in May 2026. </w:t>
      </w:r>
      <w:r>
        <w:rPr>
          <w:rFonts w:ascii="Calibri" w:hAnsi="Calibri"/>
          <w:i/>
          <w:color w:val="525866"/>
          <w:sz w:val="22"/>
        </w:rPr>
        <w:t>SO Read-Through: Political/regulatory tailwind validates SO’s existing contract structure; reduces risk of adverse rate design changes in Georgia and Alabama.</w:t>
      </w:r>
    </w:p>
    <w:p>
      <w:pPr>
        <w:pStyle w:val="ListBullet"/>
        <w:ind w:left="360" w:hanging="360"/>
      </w:pPr>
      <w:r>
        <w:rPr>
          <w:rFonts w:ascii="Calibri" w:hAnsi="Calibri"/>
          <w:b/>
          <w:color w:val="525866"/>
          <w:sz w:val="22"/>
        </w:rPr>
        <w:t>Energy Resources backlog at record levels:</w:t>
      </w:r>
      <w:r>
        <w:rPr>
          <w:rFonts w:ascii="Calibri" w:hAnsi="Calibri"/>
          <w:color w:val="525866"/>
          <w:sz w:val="22"/>
        </w:rPr>
        <w:t xml:space="preserve"> Added 3.6 GW of renewables and storage in Q2 (second-largest quarter ever); total backlog now 35.1 GW. Recontracted 500+ MW at a premium of ~$20/MWh above recent realized pricing, locked in for ~15 years on average. </w:t>
      </w:r>
      <w:r>
        <w:rPr>
          <w:rFonts w:ascii="Calibri" w:hAnsi="Calibri"/>
          <w:i/>
          <w:color w:val="525866"/>
          <w:sz w:val="22"/>
        </w:rPr>
        <w:t>SO Read-Through: Strong recontracting pricing supports SO’s Southern Power recontracting opportunity as potential upside to the 7–8% growth framework.</w:t>
      </w:r>
    </w:p>
    <w:p>
      <w:pPr>
        <w:pStyle w:val="ListBullet"/>
        <w:ind w:left="360" w:hanging="360"/>
      </w:pPr>
      <w:r>
        <w:rPr>
          <w:rFonts w:ascii="Calibri" w:hAnsi="Calibri"/>
          <w:b/>
          <w:color w:val="525866"/>
          <w:sz w:val="22"/>
        </w:rPr>
        <w:t>NEE-Dominion merger advancing:</w:t>
      </w:r>
      <w:r>
        <w:rPr>
          <w:rFonts w:ascii="Calibri" w:hAnsi="Calibri"/>
          <w:color w:val="525866"/>
          <w:sz w:val="22"/>
        </w:rPr>
        <w:t xml:space="preserve"> Expected to close H2 2027; combined company targets 9%+ adjusted EPS growth through 2032–2035. Regulatory filings submitted to Virginia SCC, NC Utilities Commission, FERC, and NRC. </w:t>
      </w:r>
      <w:r>
        <w:rPr>
          <w:rFonts w:ascii="Calibri" w:hAnsi="Calibri"/>
          <w:i/>
          <w:color w:val="525866"/>
          <w:sz w:val="22"/>
        </w:rPr>
        <w:t>SO Read-Through: Neutral to SO directly; creates a larger Southeast competitor but also validates the premium valuation of Southeast utility franchises.</w:t>
      </w:r>
    </w:p>
    <w:p>
      <w:pPr>
        <w:pStyle w:val="ListBullet"/>
        <w:ind w:left="360" w:hanging="360"/>
      </w:pPr>
      <w:r>
        <w:rPr>
          <w:rFonts w:ascii="Calibri" w:hAnsi="Calibri"/>
          <w:b/>
          <w:color w:val="525866"/>
          <w:sz w:val="22"/>
        </w:rPr>
        <w:t>2026 guidance reaffirmed at high end:</w:t>
      </w:r>
      <w:r>
        <w:rPr>
          <w:rFonts w:ascii="Calibri" w:hAnsi="Calibri"/>
          <w:color w:val="525866"/>
          <w:sz w:val="22"/>
        </w:rPr>
        <w:t xml:space="preserve"> NEE reaffirmed 2026 adjusted EPS range of $3.92–$4.02, targeting the high end. Expects 8%+ CAGR through 2032. </w:t>
      </w:r>
      <w:r>
        <w:rPr>
          <w:rFonts w:ascii="Calibri" w:hAnsi="Calibri"/>
          <w:i/>
          <w:color w:val="525866"/>
          <w:sz w:val="22"/>
        </w:rPr>
        <w:t>SO Read-Through: Sector-wide guidance reaffirmation reduces risk of SO guidance cut.</w:t>
      </w:r>
    </w:p>
    <w:p>
      <w:pPr>
        <w:pStyle w:val="Heading3"/>
      </w:pPr>
      <w:r>
        <w:rPr>
          <w:rFonts w:ascii="Calibri" w:hAnsi="Calibri"/>
          <w:b/>
          <w:color w:val="3B4259"/>
          <w:sz w:val="24"/>
        </w:rPr>
        <w:t>DTE Energy (DTE) — Q2 2026 Earnings Call (July 28, 2026)</w:t>
      </w:r>
    </w:p>
    <w:p>
      <w:r>
        <w:rPr>
          <w:rFonts w:ascii="Calibri" w:hAnsi="Calibri"/>
          <w:b/>
          <w:color w:val="525866"/>
          <w:sz w:val="22"/>
        </w:rPr>
        <w:t xml:space="preserve">Relevance to SO: </w:t>
      </w:r>
      <w:r>
        <w:rPr>
          <w:rFonts w:ascii="Calibri" w:hAnsi="Calibri"/>
          <w:color w:val="525866"/>
          <w:sz w:val="22"/>
        </w:rPr>
        <w:t>Medium-High — DTE’s Michigan service territory is a different geography, but its data center contracting experience (Oracle 1.4 GW, Google 1 GW) and tariff structure are directly analogous to SO’s approach; DTE’s commentary on contract protections and customer benefits is a template read-through.</w:t>
      </w:r>
    </w:p>
    <w:p>
      <w:pPr>
        <w:pStyle w:val="ListBullet"/>
        <w:ind w:left="360" w:hanging="360"/>
      </w:pPr>
      <w:r>
        <w:rPr>
          <w:rFonts w:ascii="Calibri" w:hAnsi="Calibri"/>
          <w:b/>
          <w:color w:val="525866"/>
          <w:sz w:val="22"/>
        </w:rPr>
        <w:t>Oracle data center on track for fast ramp:</w:t>
      </w:r>
      <w:r>
        <w:rPr>
          <w:rFonts w:ascii="Calibri" w:hAnsi="Calibri"/>
          <w:color w:val="525866"/>
          <w:sz w:val="22"/>
        </w:rPr>
        <w:t xml:space="preserve"> DTE’s 1.4 GW Oracle data center is fully approved, under construction, and showing “all positive indicators” for a fast ramp. Equipment deliveries have started. Once fully ramped, Oracle expected to provide ~$300M of annual benefits for existing customers. </w:t>
      </w:r>
      <w:r>
        <w:rPr>
          <w:rFonts w:ascii="Calibri" w:hAnsi="Calibri"/>
          <w:i/>
          <w:color w:val="525866"/>
          <w:sz w:val="22"/>
        </w:rPr>
        <w:t>SO Read-Through: Confirms that large load ramp timelines are being met — positive for SO’s Q2 data center usage trends.</w:t>
      </w:r>
    </w:p>
    <w:p>
      <w:pPr>
        <w:pStyle w:val="ListBullet"/>
        <w:ind w:left="360" w:hanging="360"/>
      </w:pPr>
      <w:r>
        <w:rPr>
          <w:rFonts w:ascii="Calibri" w:hAnsi="Calibri"/>
          <w:b/>
          <w:color w:val="525866"/>
          <w:sz w:val="22"/>
        </w:rPr>
        <w:t>Google 1 GW contract advancing through MPSC:</w:t>
      </w:r>
      <w:r>
        <w:rPr>
          <w:rFonts w:ascii="Calibri" w:hAnsi="Calibri"/>
          <w:color w:val="525866"/>
          <w:sz w:val="22"/>
        </w:rPr>
        <w:t xml:space="preserve"> Google contract submitted to Michigan PSC; MPSC approval expected September 2026. Google deal expected to generate ~$1.7B of benefits over contract life. DTE targeting another data center agreement by year-end from its 2 GW in advanced discussions. </w:t>
      </w:r>
      <w:r>
        <w:rPr>
          <w:rFonts w:ascii="Calibri" w:hAnsi="Calibri"/>
          <w:i/>
          <w:color w:val="525866"/>
          <w:sz w:val="22"/>
        </w:rPr>
        <w:t>SO Read-Through: Regulatory approval timelines for large load contracts are manageable; SO’s Georgia PSC process should follow a similar constructive path.</w:t>
      </w:r>
    </w:p>
    <w:p>
      <w:pPr>
        <w:pStyle w:val="ListBullet"/>
        <w:ind w:left="360" w:hanging="360"/>
      </w:pPr>
      <w:r>
        <w:rPr>
          <w:rFonts w:ascii="Calibri" w:hAnsi="Calibri"/>
          <w:b/>
          <w:color w:val="525866"/>
          <w:sz w:val="22"/>
        </w:rPr>
        <w:t>Contract protections are robust:</w:t>
      </w:r>
      <w:r>
        <w:rPr>
          <w:rFonts w:ascii="Calibri" w:hAnsi="Calibri"/>
          <w:color w:val="525866"/>
          <w:sz w:val="22"/>
        </w:rPr>
        <w:t xml:space="preserve"> DTE’s contracts include minimum monthly charges of 80% of minimum billing demand for 10+ years, ensuring full payback of invested capital and eliminating stranded asset risk. Additional collateral requirements at downgrade triggers. </w:t>
      </w:r>
      <w:r>
        <w:rPr>
          <w:rFonts w:ascii="Calibri" w:hAnsi="Calibri"/>
          <w:i/>
          <w:color w:val="525866"/>
          <w:sz w:val="22"/>
        </w:rPr>
        <w:t>SO Read-Through: Validates SO’s own contract structure; reduces investor concern about large load credit risk.</w:t>
      </w:r>
    </w:p>
    <w:p>
      <w:pPr>
        <w:pStyle w:val="ListBullet"/>
        <w:ind w:left="360" w:hanging="360"/>
      </w:pPr>
      <w:r>
        <w:rPr>
          <w:rFonts w:ascii="Calibri" w:hAnsi="Calibri"/>
          <w:b/>
          <w:color w:val="525866"/>
          <w:sz w:val="22"/>
        </w:rPr>
        <w:t>3 GW of data center load = ‘8%+’ EPS growth:</w:t>
      </w:r>
      <w:r>
        <w:rPr>
          <w:rFonts w:ascii="Calibri" w:hAnsi="Calibri"/>
          <w:color w:val="525866"/>
          <w:sz w:val="22"/>
        </w:rPr>
        <w:t xml:space="preserve"> DTE confirmed that 3 GW of contracted data center load gets them to “solidly 8%” EPS growth; Google’s 1 GW brings them to that level. Pipeline of 5–6 GW of additional opportunities beyond Oracle and Google. </w:t>
      </w:r>
      <w:r>
        <w:rPr>
          <w:rFonts w:ascii="Calibri" w:hAnsi="Calibri"/>
          <w:i/>
          <w:color w:val="525866"/>
          <w:sz w:val="22"/>
        </w:rPr>
        <w:t>SO Read-Through: Quantifies the EPS growth leverage from large load — SO’s 11+ GW contracted base implies significant embedded upside to its 7–8% framework.</w:t>
      </w:r>
    </w:p>
    <w:p>
      <w:pPr>
        <w:pStyle w:val="ListBullet"/>
        <w:ind w:left="360" w:hanging="360"/>
      </w:pPr>
      <w:r>
        <w:rPr>
          <w:rFonts w:ascii="Calibri" w:hAnsi="Calibri"/>
          <w:b/>
          <w:color w:val="525866"/>
          <w:sz w:val="22"/>
        </w:rPr>
        <w:t>On track for high end of 2026 guidance:</w:t>
      </w:r>
      <w:r>
        <w:rPr>
          <w:rFonts w:ascii="Calibri" w:hAnsi="Calibri"/>
          <w:color w:val="525866"/>
          <w:sz w:val="22"/>
        </w:rPr>
        <w:t xml:space="preserve"> DTE Q2 2026 operating EPS of $1.32; year-to-date performance positions company to achieve high end of 2026 guidance. Long-term 6–8% EPS growth target through 2030 reaffirmed. </w:t>
      </w:r>
      <w:r>
        <w:rPr>
          <w:rFonts w:ascii="Calibri" w:hAnsi="Calibri"/>
          <w:i/>
          <w:color w:val="525866"/>
          <w:sz w:val="22"/>
        </w:rPr>
        <w:t>SO Read-Through: Sector-wide guidance reaffirmation; no negative surprises from a comparable regulated utility.</w:t>
      </w:r>
    </w:p>
    <w:p>
      <w:pPr>
        <w:pStyle w:val="Heading3"/>
      </w:pPr>
      <w:r>
        <w:rPr>
          <w:rFonts w:ascii="Calibri" w:hAnsi="Calibri"/>
          <w:b/>
          <w:color w:val="3B4259"/>
          <w:sz w:val="24"/>
        </w:rPr>
        <w:t>CMS Energy (CMS) — Q2 2026 Earnings Call (July 28, 2026)</w:t>
      </w:r>
    </w:p>
    <w:p>
      <w:r>
        <w:rPr>
          <w:rFonts w:ascii="Calibri" w:hAnsi="Calibri"/>
          <w:b/>
          <w:color w:val="525866"/>
          <w:sz w:val="22"/>
        </w:rPr>
        <w:t xml:space="preserve">Relevance to SO: </w:t>
      </w:r>
      <w:r>
        <w:rPr>
          <w:rFonts w:ascii="Calibri" w:hAnsi="Calibri"/>
          <w:color w:val="525866"/>
          <w:sz w:val="22"/>
        </w:rPr>
        <w:t>Medium — CMS serves Michigan; less direct geographic overlap with SO, but its large load tariff framework and data center pipeline commentary are relevant read-throughs for regulatory approach and customer economics.</w:t>
      </w:r>
    </w:p>
    <w:p>
      <w:pPr>
        <w:pStyle w:val="ListBullet"/>
        <w:ind w:left="360" w:hanging="360"/>
      </w:pPr>
      <w:r>
        <w:rPr>
          <w:rFonts w:ascii="Calibri" w:hAnsi="Calibri"/>
          <w:b/>
          <w:color w:val="525866"/>
          <w:sz w:val="22"/>
        </w:rPr>
        <w:t>First large load tariff agreement reached:</w:t>
      </w:r>
      <w:r>
        <w:rPr>
          <w:rFonts w:ascii="Calibri" w:hAnsi="Calibri"/>
          <w:color w:val="525866"/>
          <w:sz w:val="22"/>
        </w:rPr>
        <w:t xml:space="preserve"> CMS reached an agreement under its large load tariff (including an Extraordinary Facilities Agreement and rate agreement), describing itself as having “one of the most constructive frameworks in the country for data center growth.” The tariff ensures new large load customers bear all costs to serve them. </w:t>
      </w:r>
      <w:r>
        <w:rPr>
          <w:rFonts w:ascii="Calibri" w:hAnsi="Calibri"/>
          <w:i/>
          <w:color w:val="525866"/>
          <w:sz w:val="22"/>
        </w:rPr>
        <w:t>SO Read-Through: Validates SO’s existing tariff approach; constructive regulatory frameworks for large load are becoming industry standard.</w:t>
      </w:r>
    </w:p>
    <w:p>
      <w:pPr>
        <w:pStyle w:val="ListBullet"/>
        <w:ind w:left="360" w:hanging="360"/>
      </w:pPr>
      <w:r>
        <w:rPr>
          <w:rFonts w:ascii="Calibri" w:hAnsi="Calibri"/>
          <w:b/>
          <w:color w:val="525866"/>
          <w:sz w:val="22"/>
        </w:rPr>
        <w:t>Customer bill benefit of ~$7.50/month per GW of new large load:</w:t>
      </w:r>
      <w:r>
        <w:rPr>
          <w:rFonts w:ascii="Calibri" w:hAnsi="Calibri"/>
          <w:color w:val="525866"/>
          <w:sz w:val="22"/>
        </w:rPr>
        <w:t xml:space="preserve"> CMS quantified that every GW of new large load could reduce average residential electric customer bills by ~$7.50/month. Capital plan does not yet reflect this load growth — “continues to be upside opportunity.” </w:t>
      </w:r>
      <w:r>
        <w:rPr>
          <w:rFonts w:ascii="Calibri" w:hAnsi="Calibri"/>
          <w:i/>
          <w:color w:val="525866"/>
          <w:sz w:val="22"/>
        </w:rPr>
        <w:t>SO Read-Through: Directly analogous to SO’s rate stability strategy; confirms that large load growth is customer-beneficial and politically durable.</w:t>
      </w:r>
    </w:p>
    <w:p>
      <w:pPr>
        <w:pStyle w:val="ListBullet"/>
        <w:ind w:left="360" w:hanging="360"/>
      </w:pPr>
      <w:r>
        <w:rPr>
          <w:rFonts w:ascii="Calibri" w:hAnsi="Calibri"/>
          <w:b/>
          <w:color w:val="525866"/>
          <w:sz w:val="22"/>
        </w:rPr>
        <w:t>FY2026 guidance reaffirmed at high end; FY2027 guidance introduced:</w:t>
      </w:r>
      <w:r>
        <w:rPr>
          <w:rFonts w:ascii="Calibri" w:hAnsi="Calibri"/>
          <w:color w:val="525866"/>
          <w:sz w:val="22"/>
        </w:rPr>
        <w:t xml:space="preserve"> CMS reaffirmed 2026 guidance of $3.83–$3.90 with “continued confidence toward the high end.” Introduced 2027 guidance of $4.17, maintaining 6–8% long-term growth. </w:t>
      </w:r>
      <w:r>
        <w:rPr>
          <w:rFonts w:ascii="Calibri" w:hAnsi="Calibri"/>
          <w:i/>
          <w:color w:val="525866"/>
          <w:sz w:val="22"/>
        </w:rPr>
        <w:t>SO Read-Through: Sector-wide guidance reaffirmation; no negative surprises.</w:t>
      </w:r>
    </w:p>
    <w:p>
      <w:pPr>
        <w:pStyle w:val="ListBullet"/>
        <w:ind w:left="360" w:hanging="360"/>
      </w:pPr>
      <w:r>
        <w:rPr>
          <w:rFonts w:ascii="Calibri" w:hAnsi="Calibri"/>
          <w:b/>
          <w:color w:val="525866"/>
          <w:sz w:val="22"/>
        </w:rPr>
        <w:t>Storm headwinds offset by rate recovery and O&amp;M discipline:</w:t>
      </w:r>
      <w:r>
        <w:rPr>
          <w:rFonts w:ascii="Calibri" w:hAnsi="Calibri"/>
          <w:color w:val="525866"/>
          <w:sz w:val="22"/>
        </w:rPr>
        <w:t xml:space="preserve"> Primary H1 2026 headwind was storm activity ($0.19 unfavorable O&amp;M variance); company identified offsets including pending storm deferral docket. July temperatures described as “helpful.” </w:t>
      </w:r>
      <w:r>
        <w:rPr>
          <w:rFonts w:ascii="Calibri" w:hAnsi="Calibri"/>
          <w:i/>
          <w:color w:val="525866"/>
          <w:sz w:val="22"/>
        </w:rPr>
        <w:t>SO Read-Through: Weather normalization in Q2 is a sector-wide theme; SO’s Q2 results may also reflect some weather headwind vs. Q1’s favorable comparison.</w:t>
      </w:r>
    </w:p>
    <w:p>
      <w:pPr>
        <w:pStyle w:val="Heading3"/>
      </w:pPr>
      <w:r>
        <w:rPr>
          <w:rFonts w:ascii="Calibri" w:hAnsi="Calibri"/>
          <w:b/>
          <w:color w:val="3B4259"/>
          <w:sz w:val="24"/>
        </w:rPr>
        <w:t>CenterPoint Energy (CNP) — Q2 2026 Earnings Call (July 28, 2026)</w:t>
      </w:r>
    </w:p>
    <w:p>
      <w:r>
        <w:rPr>
          <w:rFonts w:ascii="Calibri" w:hAnsi="Calibri"/>
          <w:b/>
          <w:color w:val="525866"/>
          <w:sz w:val="22"/>
        </w:rPr>
        <w:t xml:space="preserve">Relevance to SO: </w:t>
      </w:r>
      <w:r>
        <w:rPr>
          <w:rFonts w:ascii="Calibri" w:hAnsi="Calibri"/>
          <w:color w:val="525866"/>
          <w:sz w:val="22"/>
        </w:rPr>
        <w:t>Medium — CNP serves Texas (ERCOT) and Indiana; its large load pipeline through ERCOT’s batch zero process is the most aggressive in the sector and provides a read-through on the scale of hyperscaler demand nationally.</w:t>
      </w:r>
    </w:p>
    <w:p>
      <w:pPr>
        <w:pStyle w:val="ListBullet"/>
        <w:ind w:left="360" w:hanging="360"/>
      </w:pPr>
      <w:r>
        <w:rPr>
          <w:rFonts w:ascii="Calibri" w:hAnsi="Calibri"/>
          <w:b/>
          <w:color w:val="525866"/>
          <w:sz w:val="22"/>
        </w:rPr>
        <w:t>14 GW of large load eligible for ERCOT batch zero:</w:t>
      </w:r>
      <w:r>
        <w:rPr>
          <w:rFonts w:ascii="Calibri" w:hAnsi="Calibri"/>
          <w:color w:val="525866"/>
          <w:sz w:val="22"/>
        </w:rPr>
        <w:t xml:space="preserve"> CNP submitted 17+ GW of large load projects through ERCOT’s new batch zero process; 14 GW expected eligible, representing a 65%+ increase in Houston Electric’s current system peak. Nearly all expected to be energized by end of 2030. Supported by ~$900M of customer cash commitments and security already received. </w:t>
      </w:r>
      <w:r>
        <w:rPr>
          <w:rFonts w:ascii="Calibri" w:hAnsi="Calibri"/>
          <w:i/>
          <w:color w:val="525866"/>
          <w:sz w:val="22"/>
        </w:rPr>
        <w:t>SO Read-Through: Confirms that hyperscaler demand is real, large-scale, and backed by financial commitments — validates SO’s 75+ GW pipeline as credible.</w:t>
      </w:r>
    </w:p>
    <w:p>
      <w:pPr>
        <w:pStyle w:val="ListBullet"/>
        <w:ind w:left="360" w:hanging="360"/>
      </w:pPr>
      <w:r>
        <w:rPr>
          <w:rFonts w:ascii="Calibri" w:hAnsi="Calibri"/>
          <w:b/>
          <w:color w:val="525866"/>
          <w:sz w:val="22"/>
        </w:rPr>
        <w:t>Capital plan raised $1.2B to $66.7B (10-year):</w:t>
      </w:r>
      <w:r>
        <w:rPr>
          <w:rFonts w:ascii="Calibri" w:hAnsi="Calibri"/>
          <w:color w:val="525866"/>
          <w:sz w:val="22"/>
        </w:rPr>
        <w:t xml:space="preserve"> $800M for large load system upgrades; $400M for Downtown Houston Revitalization. Incremental capital deployable without additional equity. Visibility to at least $10B of additional capital opportunities through 2035. </w:t>
      </w:r>
      <w:r>
        <w:rPr>
          <w:rFonts w:ascii="Calibri" w:hAnsi="Calibri"/>
          <w:i/>
          <w:color w:val="525866"/>
          <w:sz w:val="22"/>
        </w:rPr>
        <w:t>SO Read-Through: Large load-driven capital plan increases are becoming sector-wide; SO’s Georgia Power RFP could similarly add substantial incremental capital above the base plan.</w:t>
      </w:r>
    </w:p>
    <w:p>
      <w:pPr>
        <w:pStyle w:val="ListBullet"/>
        <w:ind w:left="360" w:hanging="360"/>
      </w:pPr>
      <w:r>
        <w:rPr>
          <w:rFonts w:ascii="Calibri" w:hAnsi="Calibri"/>
          <w:b/>
          <w:color w:val="525866"/>
          <w:sz w:val="22"/>
        </w:rPr>
        <w:t>Residential customer savings of $5B+ over next decade from 14 GW of large load:</w:t>
      </w:r>
      <w:r>
        <w:rPr>
          <w:rFonts w:ascii="Calibri" w:hAnsi="Calibri"/>
          <w:color w:val="525866"/>
          <w:sz w:val="22"/>
        </w:rPr>
        <w:t xml:space="preserve"> CNP quantified that 14 GW of eligible large load projects would save residential and commercial customers over $5B over the next decade. </w:t>
      </w:r>
      <w:r>
        <w:rPr>
          <w:rFonts w:ascii="Calibri" w:hAnsi="Calibri"/>
          <w:i/>
          <w:color w:val="525866"/>
          <w:sz w:val="22"/>
        </w:rPr>
        <w:t>SO Read-Through: Reinforces the customer-beneficial narrative that SO has been advancing; politically durable growth story.</w:t>
      </w:r>
    </w:p>
    <w:p>
      <w:pPr>
        <w:pStyle w:val="ListBullet"/>
        <w:ind w:left="360" w:hanging="360"/>
      </w:pPr>
      <w:r>
        <w:rPr>
          <w:rFonts w:ascii="Calibri" w:hAnsi="Calibri"/>
          <w:b/>
          <w:color w:val="525866"/>
          <w:sz w:val="22"/>
        </w:rPr>
        <w:t>FY2026 non-GAAP EPS guidance reiterated at $1.89–$1.91 (8% growth at midpoint):</w:t>
      </w:r>
      <w:r>
        <w:rPr>
          <w:rFonts w:ascii="Calibri" w:hAnsi="Calibri"/>
          <w:color w:val="525866"/>
          <w:sz w:val="22"/>
        </w:rPr>
        <w:t xml:space="preserve"> Long-term 7–9% EPS growth through 2035 reaffirmed. </w:t>
      </w:r>
      <w:r>
        <w:rPr>
          <w:rFonts w:ascii="Calibri" w:hAnsi="Calibri"/>
          <w:i/>
          <w:color w:val="525866"/>
          <w:sz w:val="22"/>
        </w:rPr>
        <w:t>SO Read-Through: Sector-wide guidance reaffirmation; no negative surprises.</w:t>
      </w:r>
    </w:p>
    <w:p>
      <w:pPr>
        <w:pStyle w:val="Heading3"/>
      </w:pPr>
      <w:r>
        <w:rPr>
          <w:rFonts w:ascii="Calibri" w:hAnsi="Calibri"/>
          <w:b/>
          <w:color w:val="3B4259"/>
          <w:sz w:val="24"/>
        </w:rPr>
        <w:t>Entergy (ETR) — Q2 2026 Earnings Call (July 29, 2026)</w:t>
      </w:r>
    </w:p>
    <w:p>
      <w:r>
        <w:rPr>
          <w:rFonts w:ascii="Calibri" w:hAnsi="Calibri"/>
          <w:b/>
          <w:color w:val="525866"/>
          <w:sz w:val="22"/>
        </w:rPr>
        <w:t xml:space="preserve">Relevance to SO: </w:t>
      </w:r>
      <w:r>
        <w:rPr>
          <w:rFonts w:ascii="Calibri" w:hAnsi="Calibri"/>
          <w:color w:val="525866"/>
          <w:sz w:val="22"/>
        </w:rPr>
        <w:t>High — ETR serves the Gulf South (Louisiana, Mississippi, Arkansas, Texas) — directly adjacent to SO’s Southeast service territory. ETR’s industrial and data center demand commentary is the most geographically proximate read-through for SO.</w:t>
      </w:r>
    </w:p>
    <w:p>
      <w:pPr>
        <w:pStyle w:val="ListBullet"/>
        <w:ind w:left="360" w:hanging="360"/>
      </w:pPr>
      <w:r>
        <w:rPr>
          <w:rFonts w:ascii="Calibri" w:hAnsi="Calibri"/>
          <w:b/>
          <w:color w:val="525866"/>
          <w:sz w:val="22"/>
        </w:rPr>
        <w:t>Gulf South experiencing a ‘massive construction and manufacturing boom’:</w:t>
      </w:r>
      <w:r>
        <w:rPr>
          <w:rFonts w:ascii="Calibri" w:hAnsi="Calibri"/>
          <w:color w:val="525866"/>
          <w:sz w:val="22"/>
        </w:rPr>
        <w:t xml:space="preserve"> ETR described its four-state Gulf South corridor as benefiting from a “massive construction and manufacturing boom.” GDP and nonfarm payrolls at 20-year highs; population growing in Louisiana and Mississippi after years of decline. </w:t>
      </w:r>
      <w:r>
        <w:rPr>
          <w:rFonts w:ascii="Calibri" w:hAnsi="Calibri"/>
          <w:i/>
          <w:color w:val="525866"/>
          <w:sz w:val="22"/>
        </w:rPr>
        <w:t>SO Read-Through: Directly validates SO’s Southeast growth thesis; economic momentum in adjacent states confirms the regional demand story.</w:t>
      </w:r>
    </w:p>
    <w:p>
      <w:pPr>
        <w:pStyle w:val="ListBullet"/>
        <w:ind w:left="360" w:hanging="360"/>
      </w:pPr>
      <w:r>
        <w:rPr>
          <w:rFonts w:ascii="Calibri" w:hAnsi="Calibri"/>
          <w:b/>
          <w:color w:val="525866"/>
          <w:sz w:val="22"/>
        </w:rPr>
        <w:t>7–12 GW hyperscale data center pipeline; front end ‘very, very active’:</w:t>
      </w:r>
      <w:r>
        <w:rPr>
          <w:rFonts w:ascii="Calibri" w:hAnsi="Calibri"/>
          <w:color w:val="525866"/>
          <w:sz w:val="22"/>
        </w:rPr>
        <w:t xml:space="preserve"> ETR maintained its 7–12 GW data center pipeline estimate but noted the front end of the funnel is “very, very active” with significant volume of interest. AWS has significant investment in Mississippi; Meta investing in Richland Parish, Louisiana. All existing customers have expressed interest in expanding. </w:t>
      </w:r>
      <w:r>
        <w:rPr>
          <w:rFonts w:ascii="Calibri" w:hAnsi="Calibri"/>
          <w:i/>
          <w:color w:val="525866"/>
          <w:sz w:val="22"/>
        </w:rPr>
        <w:t>SO Read-Through: Hyperscaler interest in the Southeast/Gulf South region is broad-based and expanding — supports SO’s pipeline credibility.</w:t>
      </w:r>
    </w:p>
    <w:p>
      <w:pPr>
        <w:pStyle w:val="ListBullet"/>
        <w:ind w:left="360" w:hanging="360"/>
      </w:pPr>
      <w:r>
        <w:rPr>
          <w:rFonts w:ascii="Calibri" w:hAnsi="Calibri"/>
          <w:b/>
          <w:color w:val="525866"/>
          <w:sz w:val="22"/>
        </w:rPr>
        <w:t>10% industrial sales growth ex-weather in Q2 2026:</w:t>
      </w:r>
      <w:r>
        <w:rPr>
          <w:rFonts w:ascii="Calibri" w:hAnsi="Calibri"/>
          <w:color w:val="525866"/>
          <w:sz w:val="22"/>
        </w:rPr>
        <w:t xml:space="preserve"> ETR reported 10% industrial sales growth (weather-adjusted) in Q2 2026, driven by new and expansion projects ramping up. Technology sector is the largest demand growth contributor in ETR’s five-year plan. </w:t>
      </w:r>
      <w:r>
        <w:rPr>
          <w:rFonts w:ascii="Calibri" w:hAnsi="Calibri"/>
          <w:i/>
          <w:color w:val="525866"/>
          <w:sz w:val="22"/>
        </w:rPr>
        <w:t>SO Read-Through: Strong industrial/commercial load growth in adjacent geography is a direct positive read-through for SO’s Q2 weather-normal retail sales growth.</w:t>
      </w:r>
    </w:p>
    <w:p>
      <w:pPr>
        <w:pStyle w:val="ListBullet"/>
        <w:ind w:left="360" w:hanging="360"/>
      </w:pPr>
      <w:r>
        <w:rPr>
          <w:rFonts w:ascii="Calibri" w:hAnsi="Calibri"/>
          <w:b/>
          <w:color w:val="525866"/>
          <w:sz w:val="22"/>
        </w:rPr>
        <w:t>Fair Share Plus pledge and Louisiana executive order:</w:t>
      </w:r>
      <w:r>
        <w:rPr>
          <w:rFonts w:ascii="Calibri" w:hAnsi="Calibri"/>
          <w:color w:val="525866"/>
          <w:sz w:val="22"/>
        </w:rPr>
        <w:t xml:space="preserve"> Louisiana Governor Landry signed an executive order requiring new data centers to provide customer benefits, invest in grid resilience, and maintain transparency — consistent with ETR’s Fair Share Plus pledge. ETR attended the White House Ratepayer Protection Pledge event. </w:t>
      </w:r>
      <w:r>
        <w:rPr>
          <w:rFonts w:ascii="Calibri" w:hAnsi="Calibri"/>
          <w:i/>
          <w:color w:val="525866"/>
          <w:sz w:val="22"/>
        </w:rPr>
        <w:t>SO Read-Through: Regulatory/political environment in the Southeast is increasingly supportive of large load growth with customer protections — validates SO’s approach.</w:t>
      </w:r>
    </w:p>
    <w:p>
      <w:pPr>
        <w:pStyle w:val="ListBullet"/>
        <w:ind w:left="360" w:hanging="360"/>
      </w:pPr>
      <w:r>
        <w:rPr>
          <w:rFonts w:ascii="Calibri" w:hAnsi="Calibri"/>
          <w:b/>
          <w:color w:val="525866"/>
          <w:sz w:val="22"/>
        </w:rPr>
        <w:t>2026 guidance affirmed; majority of YoY earnings increase expected in Q4:</w:t>
      </w:r>
      <w:r>
        <w:rPr>
          <w:rFonts w:ascii="Calibri" w:hAnsi="Calibri"/>
          <w:color w:val="525866"/>
          <w:sz w:val="22"/>
        </w:rPr>
        <w:t xml:space="preserve"> ETR Q2 2026 adjusted EPS of $1.03 (slightly below prior year due to weather normalization). Majority of YoY earnings increase expected in Q4 due to flex spending. ~60% of five-year equity plan contracted, satisfying needs into 2028. </w:t>
      </w:r>
      <w:r>
        <w:rPr>
          <w:rFonts w:ascii="Calibri" w:hAnsi="Calibri"/>
          <w:i/>
          <w:color w:val="525866"/>
          <w:sz w:val="22"/>
        </w:rPr>
        <w:t>SO Read-Through: Weather normalization in Q2 is a sector-wide theme; SO’s Q2 EPS of ~$1.00 vs. $0.92 prior year still represents solid YoY growth despite weather headwinds.</w:t>
      </w:r>
    </w:p>
    <w:p>
      <w:pPr>
        <w:pStyle w:val="ListBullet"/>
        <w:ind w:left="360" w:hanging="360"/>
      </w:pPr>
      <w:r>
        <w:rPr>
          <w:rFonts w:ascii="Calibri" w:hAnsi="Calibri"/>
          <w:b/>
          <w:color w:val="525866"/>
          <w:sz w:val="22"/>
        </w:rPr>
        <w:t>7.5 GW of plant island equipment secured:</w:t>
      </w:r>
      <w:r>
        <w:rPr>
          <w:rFonts w:ascii="Calibri" w:hAnsi="Calibri"/>
          <w:color w:val="525866"/>
          <w:sz w:val="22"/>
        </w:rPr>
        <w:t xml:space="preserve"> ETR has secured ~7.5 GW of plant island equipment (low end of 10–17 GW opportunity) to support future large load growth. </w:t>
      </w:r>
      <w:r>
        <w:rPr>
          <w:rFonts w:ascii="Calibri" w:hAnsi="Calibri"/>
          <w:i/>
          <w:color w:val="525866"/>
          <w:sz w:val="22"/>
        </w:rPr>
        <w:t>SO Read-Through: Supply chain for generation equipment is being locked up by Southeast utilities — SO’s scale and long-standing supplier relationships are a competitive advantage.</w:t>
      </w:r>
    </w:p>
    <w:p>
      <w:pPr>
        <w:pStyle w:val="ListBullet"/>
        <w:ind w:left="360" w:hanging="360"/>
      </w:pPr>
      <w:r>
        <w:rPr>
          <w:rFonts w:ascii="Calibri" w:hAnsi="Calibri"/>
          <w:b/>
          <w:color w:val="525866"/>
          <w:sz w:val="22"/>
        </w:rPr>
        <w:t>PG&amp;E (PCG) — Q2 2026 Earnings Call (July 23, 2026):</w:t>
      </w:r>
      <w:r>
        <w:rPr>
          <w:rFonts w:ascii="Calibri" w:hAnsi="Calibri"/>
          <w:color w:val="525866"/>
          <w:sz w:val="22"/>
        </w:rPr>
        <w:t xml:space="preserve"> PCG reported core EPS of $0.40 for Q2 2026; reaffirmed FY2026 core EPS guidance of $1.64–$1.66 (10% growth at midpoint) and 9%+ annual EPS growth 2027–2030. Data center pipeline now &gt;12 GW; ~1.8 GW expected online by 2030. PCG noted FERC’s Section 206 show cause orders as a positive step for ensuring large load customers pay their fair share. </w:t>
      </w:r>
      <w:r>
        <w:rPr>
          <w:rFonts w:ascii="Calibri" w:hAnsi="Calibri"/>
          <w:i/>
          <w:color w:val="525866"/>
          <w:sz w:val="22"/>
        </w:rPr>
        <w:t>SO Read-Through: Sector-wide guidance reaffirmation; FERC’s regulatory actions on large load cost allocation are a tailwind for SO’s existing contract structure.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discretionary buys or sells by senior executives since Q1 earnings — the only sales activity is a small, systematic 10b5-1 planned sale program by the Comptroller (100 shares/month). The CEO’s May transaction was a performance restricted stock unit vesting (non-discretionary). </w:t>
      </w:r>
      <w:r>
        <w:rPr>
          <w:rFonts w:ascii="Calibri" w:hAnsi="Calibri"/>
          <w:b/>
          <w:color w:val="525866"/>
          <w:sz w:val="22"/>
        </w:rPr>
        <w:t>No insider activity signals concern or unusual conviction in either direction.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Kim, Matthew M.</w:t>
            </w:r>
          </w:p>
        </w:tc>
        <w:tc>
          <w:tcPr>
            <w:tcW w:type="dxa" w:w="1440"/>
          </w:tcPr>
          <w:p>
            <w:r>
              <w:rPr>
                <w:rFonts w:ascii="Calibri" w:hAnsi="Calibri"/>
                <w:sz w:val="22"/>
              </w:rPr>
              <w:t>Comptroller</w:t>
            </w:r>
          </w:p>
        </w:tc>
        <w:tc>
          <w:tcPr>
            <w:tcW w:type="dxa" w:w="1440"/>
          </w:tcPr>
          <w:p>
            <w:r>
              <w:rPr>
                <w:rFonts w:ascii="Calibri" w:hAnsi="Calibri"/>
                <w:sz w:val="22"/>
              </w:rPr>
              <w:t>10b5-1 Planned Sale</w:t>
            </w:r>
          </w:p>
        </w:tc>
        <w:tc>
          <w:tcPr>
            <w:tcW w:type="dxa" w:w="1440"/>
          </w:tcPr>
          <w:p>
            <w:r>
              <w:rPr>
                <w:rFonts w:ascii="Calibri" w:hAnsi="Calibri"/>
                <w:sz w:val="22"/>
              </w:rPr>
              <w:t>100 shares</w:t>
            </w:r>
          </w:p>
        </w:tc>
        <w:tc>
          <w:tcPr>
            <w:tcW w:type="dxa" w:w="1440"/>
          </w:tcPr>
          <w:p>
            <w:r>
              <w:rPr>
                <w:rFonts w:ascii="Calibri" w:hAnsi="Calibri"/>
                <w:sz w:val="22"/>
              </w:rPr>
              <w:t>July 1, 2026</w:t>
            </w:r>
          </w:p>
        </w:tc>
        <w:tc>
          <w:tcPr>
            <w:tcW w:type="dxa" w:w="1440"/>
          </w:tcPr>
          <w:p>
            <w:r>
              <w:rPr>
                <w:rFonts w:ascii="Calibri" w:hAnsi="Calibri"/>
                <w:sz w:val="22"/>
              </w:rPr>
              <w:t>Third consecutive monthly 10b5-1 sale of 100 shares; systematic, obligation-driven plan</w:t>
            </w:r>
          </w:p>
        </w:tc>
      </w:tr>
      <w:tr>
        <w:tc>
          <w:tcPr>
            <w:tcW w:type="dxa" w:w="1440"/>
          </w:tcPr>
          <w:p>
            <w:r>
              <w:rPr>
                <w:rFonts w:ascii="Calibri" w:hAnsi="Calibri"/>
                <w:sz w:val="22"/>
              </w:rPr>
              <w:t>Kim, Matthew M.</w:t>
            </w:r>
          </w:p>
        </w:tc>
        <w:tc>
          <w:tcPr>
            <w:tcW w:type="dxa" w:w="1440"/>
          </w:tcPr>
          <w:p>
            <w:r>
              <w:rPr>
                <w:rFonts w:ascii="Calibri" w:hAnsi="Calibri"/>
                <w:sz w:val="22"/>
              </w:rPr>
              <w:t>Comptroller</w:t>
            </w:r>
          </w:p>
        </w:tc>
        <w:tc>
          <w:tcPr>
            <w:tcW w:type="dxa" w:w="1440"/>
          </w:tcPr>
          <w:p>
            <w:r>
              <w:rPr>
                <w:rFonts w:ascii="Calibri" w:hAnsi="Calibri"/>
                <w:sz w:val="22"/>
              </w:rPr>
              <w:t>10b5-1 Planned Sale</w:t>
            </w:r>
          </w:p>
        </w:tc>
        <w:tc>
          <w:tcPr>
            <w:tcW w:type="dxa" w:w="1440"/>
          </w:tcPr>
          <w:p>
            <w:r>
              <w:rPr>
                <w:rFonts w:ascii="Calibri" w:hAnsi="Calibri"/>
                <w:sz w:val="22"/>
              </w:rPr>
              <w:t>100 shares</w:t>
            </w:r>
          </w:p>
        </w:tc>
        <w:tc>
          <w:tcPr>
            <w:tcW w:type="dxa" w:w="1440"/>
          </w:tcPr>
          <w:p>
            <w:r>
              <w:rPr>
                <w:rFonts w:ascii="Calibri" w:hAnsi="Calibri"/>
                <w:sz w:val="22"/>
              </w:rPr>
              <w:t>June 1, 2026</w:t>
            </w:r>
          </w:p>
        </w:tc>
        <w:tc>
          <w:tcPr>
            <w:tcW w:type="dxa" w:w="1440"/>
          </w:tcPr>
          <w:p>
            <w:r>
              <w:rPr>
                <w:rFonts w:ascii="Calibri" w:hAnsi="Calibri"/>
                <w:sz w:val="22"/>
              </w:rPr>
              <w:t>Second consecutive monthly 10b5-1 sale of 100 shares; systematic plan</w:t>
            </w:r>
          </w:p>
        </w:tc>
      </w:tr>
      <w:tr>
        <w:tc>
          <w:tcPr>
            <w:tcW w:type="dxa" w:w="1440"/>
          </w:tcPr>
          <w:p>
            <w:r>
              <w:rPr>
                <w:rFonts w:ascii="Calibri" w:hAnsi="Calibri"/>
                <w:sz w:val="22"/>
              </w:rPr>
              <w:t>Sena, Peter P. III</w:t>
            </w:r>
          </w:p>
        </w:tc>
        <w:tc>
          <w:tcPr>
            <w:tcW w:type="dxa" w:w="1440"/>
          </w:tcPr>
          <w:p>
            <w:r>
              <w:rPr>
                <w:rFonts w:ascii="Calibri" w:hAnsi="Calibri"/>
                <w:sz w:val="22"/>
              </w:rPr>
              <w:t>Chairman, President &amp; CEO, SNC</w:t>
            </w:r>
          </w:p>
        </w:tc>
        <w:tc>
          <w:tcPr>
            <w:tcW w:type="dxa" w:w="1440"/>
          </w:tcPr>
          <w:p>
            <w:r>
              <w:rPr>
                <w:rFonts w:ascii="Calibri" w:hAnsi="Calibri"/>
                <w:sz w:val="22"/>
              </w:rPr>
              <w:t>RSU Vesting (Non-Discretionary)</w:t>
            </w:r>
          </w:p>
        </w:tc>
        <w:tc>
          <w:tcPr>
            <w:tcW w:type="dxa" w:w="1440"/>
          </w:tcPr>
          <w:p>
            <w:r>
              <w:rPr>
                <w:rFonts w:ascii="Calibri" w:hAnsi="Calibri"/>
                <w:sz w:val="22"/>
              </w:rPr>
              <w:t>712 shares acquired; 316 shares withheld for taxes</w:t>
            </w:r>
          </w:p>
        </w:tc>
        <w:tc>
          <w:tcPr>
            <w:tcW w:type="dxa" w:w="1440"/>
          </w:tcPr>
          <w:p>
            <w:r>
              <w:rPr>
                <w:rFonts w:ascii="Calibri" w:hAnsi="Calibri"/>
                <w:sz w:val="22"/>
              </w:rPr>
              <w:t>June 28, 2026</w:t>
            </w:r>
          </w:p>
        </w:tc>
        <w:tc>
          <w:tcPr>
            <w:tcW w:type="dxa" w:w="1440"/>
          </w:tcPr>
          <w:p>
            <w:r>
              <w:rPr>
                <w:rFonts w:ascii="Calibri" w:hAnsi="Calibri"/>
                <w:sz w:val="22"/>
              </w:rPr>
              <w:t>Performance RSU vesting; 316 shares withheld for tax obligation — not a discretionary sale</w:t>
            </w:r>
          </w:p>
        </w:tc>
      </w:tr>
      <w:tr>
        <w:tc>
          <w:tcPr>
            <w:tcW w:type="dxa" w:w="1440"/>
          </w:tcPr>
          <w:p>
            <w:r>
              <w:rPr>
                <w:rFonts w:ascii="Calibri" w:hAnsi="Calibri"/>
                <w:sz w:val="22"/>
              </w:rPr>
              <w:t>Womack, Christopher C.</w:t>
            </w:r>
          </w:p>
        </w:tc>
        <w:tc>
          <w:tcPr>
            <w:tcW w:type="dxa" w:w="1440"/>
          </w:tcPr>
          <w:p>
            <w:r>
              <w:rPr>
                <w:rFonts w:ascii="Calibri" w:hAnsi="Calibri"/>
                <w:sz w:val="22"/>
              </w:rPr>
              <w:t>Chairman, President &amp; CEO</w:t>
            </w:r>
          </w:p>
        </w:tc>
        <w:tc>
          <w:tcPr>
            <w:tcW w:type="dxa" w:w="1440"/>
          </w:tcPr>
          <w:p>
            <w:r>
              <w:rPr>
                <w:rFonts w:ascii="Calibri" w:hAnsi="Calibri"/>
                <w:sz w:val="22"/>
              </w:rPr>
              <w:t>RSU Vesting (Non-Discretionary)</w:t>
            </w:r>
          </w:p>
        </w:tc>
        <w:tc>
          <w:tcPr>
            <w:tcW w:type="dxa" w:w="1440"/>
          </w:tcPr>
          <w:p>
            <w:r>
              <w:rPr>
                <w:rFonts w:ascii="Calibri" w:hAnsi="Calibri"/>
                <w:sz w:val="22"/>
              </w:rPr>
              <w:t>6,898 shares</w:t>
            </w:r>
          </w:p>
        </w:tc>
        <w:tc>
          <w:tcPr>
            <w:tcW w:type="dxa" w:w="1440"/>
          </w:tcPr>
          <w:p>
            <w:r>
              <w:rPr>
                <w:rFonts w:ascii="Calibri" w:hAnsi="Calibri"/>
                <w:sz w:val="22"/>
              </w:rPr>
              <w:t>May 24, 2026</w:t>
            </w:r>
          </w:p>
        </w:tc>
        <w:tc>
          <w:tcPr>
            <w:tcW w:type="dxa" w:w="1440"/>
          </w:tcPr>
          <w:p>
            <w:r>
              <w:rPr>
                <w:rFonts w:ascii="Calibri" w:hAnsi="Calibri"/>
                <w:sz w:val="22"/>
              </w:rPr>
              <w:t>Performance RSU vesting; no open-market sale component; non-discretionary</w:t>
            </w:r>
          </w:p>
        </w:tc>
      </w:tr>
      <w:tr>
        <w:tc>
          <w:tcPr>
            <w:tcW w:type="dxa" w:w="1440"/>
          </w:tcPr>
          <w:p>
            <w:r>
              <w:rPr>
                <w:rFonts w:ascii="Calibri" w:hAnsi="Calibri"/>
                <w:sz w:val="22"/>
              </w:rPr>
              <w:t>Kim, Matthew M.</w:t>
            </w:r>
          </w:p>
        </w:tc>
        <w:tc>
          <w:tcPr>
            <w:tcW w:type="dxa" w:w="1440"/>
          </w:tcPr>
          <w:p>
            <w:r>
              <w:rPr>
                <w:rFonts w:ascii="Calibri" w:hAnsi="Calibri"/>
                <w:sz w:val="22"/>
              </w:rPr>
              <w:t>Comptroller</w:t>
            </w:r>
          </w:p>
        </w:tc>
        <w:tc>
          <w:tcPr>
            <w:tcW w:type="dxa" w:w="1440"/>
          </w:tcPr>
          <w:p>
            <w:r>
              <w:rPr>
                <w:rFonts w:ascii="Calibri" w:hAnsi="Calibri"/>
                <w:sz w:val="22"/>
              </w:rPr>
              <w:t>10b5-1 Planned Sale</w:t>
            </w:r>
          </w:p>
        </w:tc>
        <w:tc>
          <w:tcPr>
            <w:tcW w:type="dxa" w:w="1440"/>
          </w:tcPr>
          <w:p>
            <w:r>
              <w:rPr>
                <w:rFonts w:ascii="Calibri" w:hAnsi="Calibri"/>
                <w:sz w:val="22"/>
              </w:rPr>
              <w:t>100 shares</w:t>
            </w:r>
          </w:p>
        </w:tc>
        <w:tc>
          <w:tcPr>
            <w:tcW w:type="dxa" w:w="1440"/>
          </w:tcPr>
          <w:p>
            <w:r>
              <w:rPr>
                <w:rFonts w:ascii="Calibri" w:hAnsi="Calibri"/>
                <w:sz w:val="22"/>
              </w:rPr>
              <w:t>May 1, 2026</w:t>
            </w:r>
          </w:p>
        </w:tc>
        <w:tc>
          <w:tcPr>
            <w:tcW w:type="dxa" w:w="1440"/>
          </w:tcPr>
          <w:p>
            <w:r>
              <w:rPr>
                <w:rFonts w:ascii="Calibri" w:hAnsi="Calibri"/>
                <w:sz w:val="22"/>
              </w:rPr>
              <w:t>First of three consecutive monthly 10b5-1 sales; systematic, obligation-driven plan</w:t>
            </w:r>
          </w:p>
        </w:tc>
      </w:tr>
      <w:tr>
        <w:tc>
          <w:tcPr>
            <w:tcW w:type="dxa" w:w="1440"/>
          </w:tcPr>
          <w:p>
            <w:r>
              <w:rPr>
                <w:rFonts w:ascii="Calibri" w:hAnsi="Calibri"/>
                <w:sz w:val="22"/>
              </w:rPr>
              <w:t>Multiple Directors (9 individuals)</w:t>
            </w:r>
          </w:p>
        </w:tc>
        <w:tc>
          <w:tcPr>
            <w:tcW w:type="dxa" w:w="1440"/>
          </w:tcPr>
          <w:p>
            <w:r>
              <w:rPr>
                <w:rFonts w:ascii="Calibri" w:hAnsi="Calibri"/>
                <w:sz w:val="22"/>
              </w:rPr>
              <w:t>Board of Directors</w:t>
            </w:r>
          </w:p>
        </w:tc>
        <w:tc>
          <w:tcPr>
            <w:tcW w:type="dxa" w:w="1440"/>
          </w:tcPr>
          <w:p>
            <w:r>
              <w:rPr>
                <w:rFonts w:ascii="Calibri" w:hAnsi="Calibri"/>
                <w:sz w:val="22"/>
              </w:rPr>
              <w:t>Deferred Stock Unit Awards (Non-Discretionary)</w:t>
            </w:r>
          </w:p>
        </w:tc>
        <w:tc>
          <w:tcPr>
            <w:tcW w:type="dxa" w:w="1440"/>
          </w:tcPr>
          <w:p>
            <w:r>
              <w:rPr>
                <w:rFonts w:ascii="Calibri" w:hAnsi="Calibri"/>
                <w:sz w:val="22"/>
              </w:rPr>
              <w:t>473–867 DSUs each</w:t>
            </w:r>
          </w:p>
        </w:tc>
        <w:tc>
          <w:tcPr>
            <w:tcW w:type="dxa" w:w="1440"/>
          </w:tcPr>
          <w:p>
            <w:r>
              <w:rPr>
                <w:rFonts w:ascii="Calibri" w:hAnsi="Calibri"/>
                <w:sz w:val="22"/>
              </w:rPr>
              <w:t>July 1, 2026</w:t>
            </w:r>
          </w:p>
        </w:tc>
        <w:tc>
          <w:tcPr>
            <w:tcW w:type="dxa" w:w="1440"/>
          </w:tcPr>
          <w:p>
            <w:r>
              <w:rPr>
                <w:rFonts w:ascii="Calibri" w:hAnsi="Calibri"/>
                <w:sz w:val="22"/>
              </w:rPr>
              <w:t>Routine annual director compensation in deferred stock units; non-discretionary awards</w:t>
            </w:r>
          </w:p>
        </w:tc>
      </w:tr>
    </w:tbl>
    <w:p>
      <w:r>
        <w:rPr>
          <w:rFonts w:ascii="Calibri" w:hAnsi="Calibri"/>
          <w:color w:val="525866"/>
          <w:sz w:val="22"/>
        </w:rPr>
        <w:t>All transactions since Q1 2026 earnings (April 30, 2026) are non-discretionary: the Comptroller’s 100-share monthly sales are part of a pre-established 10b5-1 plan, the CEO and SNC Chairman RSU vestings are performance-based compensation events with tax withholding, and the director DSU awards are routine annual compensation. There are no open-market buys or discretionary sells by senior management. The absence of any discretionary selling ahead of earnings is a mild positive signal — insiders are not reducing exposure. Source: Insider Transaction Data (SEC Form 4).</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