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Southern Company (SO)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SO</w:t>
            </w:r>
          </w:p>
        </w:tc>
        <w:tc>
          <w:tcPr>
            <w:tcW w:type="dxa" w:w="2160"/>
          </w:tcPr>
          <w:p>
            <w:r>
              <w:rPr>
                <w:rFonts w:ascii="Calibri" w:hAnsi="Calibri"/>
                <w:b/>
                <w:sz w:val="22"/>
              </w:rPr>
              <w:t>Earnings Date</w:t>
            </w:r>
          </w:p>
        </w:tc>
        <w:tc>
          <w:tcPr>
            <w:tcW w:type="dxa" w:w="2160"/>
          </w:tcPr>
          <w:p>
            <w:r>
              <w:rPr>
                <w:rFonts w:ascii="Calibri" w:hAnsi="Calibri"/>
                <w:sz w:val="22"/>
              </w:rPr>
              <w:t>July 30, 2026 (1:00 PM ET)</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w:t>
            </w:r>
          </w:p>
        </w:tc>
        <w:tc>
          <w:tcPr>
            <w:tcW w:type="dxa" w:w="2160"/>
          </w:tcPr>
          <w:p>
            <w:r>
              <w:rPr>
                <w:rFonts w:ascii="Calibri" w:hAnsi="Calibri"/>
                <w:sz w:val="22"/>
              </w:rPr>
              <w:t>July 29, 2026</w:t>
            </w:r>
          </w:p>
        </w:tc>
      </w:tr>
      <w:tr>
        <w:tc>
          <w:tcPr>
            <w:tcW w:type="dxa" w:w="2160"/>
          </w:tcPr>
          <w:p>
            <w:r>
              <w:rPr>
                <w:rFonts w:ascii="Calibri" w:hAnsi="Calibri"/>
                <w:b/>
                <w:sz w:val="22"/>
              </w:rPr>
              <w:t>Sector</w:t>
            </w:r>
          </w:p>
        </w:tc>
        <w:tc>
          <w:tcPr>
            <w:tcW w:type="dxa" w:w="2160"/>
          </w:tcPr>
          <w:p>
            <w:r>
              <w:rPr>
                <w:rFonts w:ascii="Calibri" w:hAnsi="Calibri"/>
                <w:sz w:val="22"/>
              </w:rPr>
              <w:t>Utilities — Regulated Electric &amp; Gas</w:t>
            </w:r>
          </w:p>
        </w:tc>
        <w:tc>
          <w:tcPr>
            <w:tcW w:type="dxa" w:w="2160"/>
          </w:tcPr>
          <w:p>
            <w:r>
              <w:rPr>
                <w:rFonts w:ascii="Calibri" w:hAnsi="Calibri"/>
                <w:b/>
                <w:sz w:val="22"/>
              </w:rPr>
              <w:t>Sector ETF</w:t>
            </w:r>
          </w:p>
        </w:tc>
        <w:tc>
          <w:tcPr>
            <w:tcW w:type="dxa" w:w="216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EPS of ~$0.98 sits below management's own $1.00 Q2 estimate, creating a low bar — but the real story is whether SO can sustain its extraordinary large-load momentum and provide incremental color on the Georgia RFP and Southern Power uprate pipeline.</w:t>
      </w:r>
    </w:p>
    <w:p>
      <w:r>
        <w:rPr>
          <w:rFonts w:ascii="Calibri" w:hAnsi="Calibri"/>
          <w:b/>
          <w:color w:val="525866"/>
          <w:sz w:val="22"/>
        </w:rPr>
        <w:t xml:space="preserve">Bar: </w:t>
      </w:r>
      <w:r>
        <w:rPr>
          <w:rFonts w:ascii="Calibri" w:hAnsi="Calibri"/>
          <w:color w:val="525866"/>
          <w:sz w:val="22"/>
        </w:rPr>
        <w:t>Consensus adjusted EPS of ~$0.98 is below management's own Q2 2026 estimate of $1.00 per share (set on the April 30 Q1 call), making the headline EPS bar relatively easy to clear. Revenue consensus of ~$7.28B compares to $6.97B in Q2 2025, implying ~4% YoY growth — a reasonable hurdle given the load growth backdrop.</w:t>
      </w:r>
      <w:r>
        <w:rPr>
          <w:rFonts w:ascii="Calibri" w:hAnsi="Calibri"/>
          <w:b/>
          <w:color w:val="525866"/>
          <w:sz w:val="22"/>
        </w:rPr>
        <w:t xml:space="preserve"> Guidance/Tone: </w:t>
      </w:r>
      <w:r>
        <w:rPr>
          <w:rFonts w:ascii="Calibri" w:hAnsi="Calibri"/>
          <w:color w:val="525866"/>
          <w:sz w:val="22"/>
        </w:rPr>
        <w:t>Management entered Q2 with high confidence, having beaten Q1 by $0.12 vs. their own estimate and $0.09 YoY. CEO Chris Womack's tone on the April 30 call was unambiguously bullish — "very bullish about the robust activity and demand" — and the $26.5B DOE loan package secured in February 2026 has materially de-risked the financing plan, reducing remaining equity needs to ~$1.8B through 2030.</w:t>
      </w:r>
      <w:r>
        <w:rPr>
          <w:rFonts w:ascii="Calibri" w:hAnsi="Calibri"/>
          <w:b/>
          <w:color w:val="525866"/>
          <w:sz w:val="22"/>
        </w:rPr>
        <w:t xml:space="preserve"> Estimate Trajectory: </w:t>
      </w:r>
      <w:r>
        <w:rPr>
          <w:rFonts w:ascii="Calibri" w:hAnsi="Calibri"/>
          <w:color w:val="525866"/>
          <w:sz w:val="22"/>
        </w:rPr>
        <w:t>Q2 2026 EPS estimates have drifted slightly lower since the Q1 print (from ~$1.02 post-earnings to ~$0.98 currently), likely reflecting seasonal conservatism and mild weather risk, but full-year 2026 consensus of ~$4.58 and 2027 of ~$4.92 are essentially unchanged — suggesting the Street is comfortable with the multi-year 7–8% CAGR framework.</w:t>
      </w:r>
      <w:r>
        <w:rPr>
          <w:rFonts w:ascii="Calibri" w:hAnsi="Calibri"/>
          <w:b/>
          <w:color w:val="525866"/>
          <w:sz w:val="22"/>
        </w:rPr>
        <w:t xml:space="preserve"> Stock Setup: </w:t>
      </w:r>
      <w:r>
        <w:rPr>
          <w:rFonts w:ascii="Calibri" w:hAnsi="Calibri"/>
          <w:color w:val="525866"/>
          <w:sz w:val="22"/>
        </w:rPr>
        <w:t>SO has returned approximately flat vs. the April 30 earnings date (indexed ~99 vs. 100), underperforming SPY (+3%) but roughly in line with XLU (-3%), trading at ~20x NTM P/E — a slight premium to the utility sector average but below its own historical peak, suggesting the market has not yet fully priced in the large-load upside scenario.</w:t>
      </w:r>
      <w:r>
        <w:rPr>
          <w:rFonts w:ascii="Calibri" w:hAnsi="Calibri"/>
          <w:b/>
          <w:color w:val="525866"/>
          <w:sz w:val="22"/>
        </w:rPr>
        <w:t xml:space="preserve"> Wildcard: </w:t>
      </w:r>
      <w:r>
        <w:rPr>
          <w:rFonts w:ascii="Calibri" w:hAnsi="Calibri"/>
          <w:color w:val="525866"/>
          <w:sz w:val="22"/>
        </w:rPr>
        <w:t>The single biggest swing factor is the pace of large-load contract signings and any update on the Georgia Power all-source RFP (2–6 GW, in-service 2032–33). If SO announces additional hyperscaler contracts beyond the 11+ GW already contracted, or signals acceleration in the late-stage 12 GW pipeline, the stock could re-rate meaningfully higher. Conversely, any regulatory friction from the May 2026 Georgia PSC elections or weather-driven miss on retail sales volumes would be the key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or below management's own Q2 guidance on every key metric, making the bar achievable. The bigger swing factor is large-load volume growth (data center GWh) and any update on contracted capacity — the metric that drives the multi-year rate-base and EPS re-rating thesis.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w:t>
            </w:r>
          </w:p>
        </w:tc>
        <w:tc>
          <w:tcPr>
            <w:tcW w:type="dxa" w:w="1234"/>
          </w:tcPr>
          <w:p>
            <w:r>
              <w:rPr>
                <w:rFonts w:ascii="Calibri" w:hAnsi="Calibri"/>
                <w:sz w:val="22"/>
              </w:rPr>
              <w:t>$1.32</w:t>
            </w:r>
          </w:p>
        </w:tc>
        <w:tc>
          <w:tcPr>
            <w:tcW w:type="dxa" w:w="1234"/>
          </w:tcPr>
          <w:p>
            <w:r>
              <w:rPr>
                <w:rFonts w:ascii="Calibri" w:hAnsi="Calibri"/>
                <w:sz w:val="22"/>
              </w:rPr>
              <w:t>$0.92</w:t>
            </w:r>
          </w:p>
        </w:tc>
        <w:tc>
          <w:tcPr>
            <w:tcW w:type="dxa" w:w="1234"/>
          </w:tcPr>
          <w:p>
            <w:r>
              <w:rPr>
                <w:rFonts w:ascii="Calibri" w:hAnsi="Calibri"/>
                <w:sz w:val="22"/>
              </w:rPr>
              <w:t>$0.98</w:t>
            </w:r>
          </w:p>
        </w:tc>
        <w:tc>
          <w:tcPr>
            <w:tcW w:type="dxa" w:w="1234"/>
          </w:tcPr>
          <w:p>
            <w:r>
              <w:rPr>
                <w:rFonts w:ascii="Calibri" w:hAnsi="Calibri"/>
                <w:sz w:val="22"/>
              </w:rPr>
              <w:t>+6.5%</w:t>
            </w:r>
          </w:p>
        </w:tc>
        <w:tc>
          <w:tcPr>
            <w:tcW w:type="dxa" w:w="1234"/>
          </w:tcPr>
          <w:p>
            <w:r>
              <w:rPr>
                <w:rFonts w:ascii="Calibri" w:hAnsi="Calibri"/>
                <w:sz w:val="22"/>
              </w:rPr>
              <w:t>$1.00 (Q2 est. set on Q1 call)</w:t>
            </w:r>
          </w:p>
        </w:tc>
        <w:tc>
          <w:tcPr>
            <w:tcW w:type="dxa" w:w="1234"/>
          </w:tcPr>
          <w:p>
            <w:r>
              <w:rPr>
                <w:rFonts w:ascii="Calibri" w:hAnsi="Calibri"/>
                <w:sz w:val="22"/>
              </w:rPr>
              <w:t>-2.0% below guidance</w:t>
            </w:r>
          </w:p>
        </w:tc>
      </w:tr>
      <w:tr>
        <w:tc>
          <w:tcPr>
            <w:tcW w:type="dxa" w:w="1234"/>
          </w:tcPr>
          <w:p>
            <w:r>
              <w:rPr>
                <w:rFonts w:ascii="Calibri" w:hAnsi="Calibri"/>
                <w:sz w:val="22"/>
              </w:rPr>
              <w:t>Total Revenue ($B)</w:t>
            </w:r>
          </w:p>
        </w:tc>
        <w:tc>
          <w:tcPr>
            <w:tcW w:type="dxa" w:w="1234"/>
          </w:tcPr>
          <w:p>
            <w:r>
              <w:rPr>
                <w:rFonts w:ascii="Calibri" w:hAnsi="Calibri"/>
                <w:sz w:val="22"/>
              </w:rPr>
              <w:t>$8.40B</w:t>
            </w:r>
          </w:p>
        </w:tc>
        <w:tc>
          <w:tcPr>
            <w:tcW w:type="dxa" w:w="1234"/>
          </w:tcPr>
          <w:p>
            <w:r>
              <w:rPr>
                <w:rFonts w:ascii="Calibri" w:hAnsi="Calibri"/>
                <w:sz w:val="22"/>
              </w:rPr>
              <w:t>$6.97B</w:t>
            </w:r>
          </w:p>
        </w:tc>
        <w:tc>
          <w:tcPr>
            <w:tcW w:type="dxa" w:w="1234"/>
          </w:tcPr>
          <w:p>
            <w:r>
              <w:rPr>
                <w:rFonts w:ascii="Calibri" w:hAnsi="Calibri"/>
                <w:sz w:val="22"/>
              </w:rPr>
              <w:t>$7.28B</w:t>
            </w:r>
          </w:p>
        </w:tc>
        <w:tc>
          <w:tcPr>
            <w:tcW w:type="dxa" w:w="1234"/>
          </w:tcPr>
          <w:p>
            <w:r>
              <w:rPr>
                <w:rFonts w:ascii="Calibri" w:hAnsi="Calibri"/>
                <w:sz w:val="22"/>
              </w:rPr>
              <w:t>+4.4%</w:t>
            </w:r>
          </w:p>
        </w:tc>
        <w:tc>
          <w:tcPr>
            <w:tcW w:type="dxa" w:w="1234"/>
          </w:tcPr>
          <w:p>
            <w:r>
              <w:rPr>
                <w:rFonts w:ascii="Calibri" w:hAnsi="Calibri"/>
                <w:sz w:val="22"/>
              </w:rPr>
              <w:t>N/A — no quarterly revenue guidance</w:t>
            </w:r>
          </w:p>
        </w:tc>
        <w:tc>
          <w:tcPr>
            <w:tcW w:type="dxa" w:w="1234"/>
          </w:tcPr>
          <w:p>
            <w:r>
              <w:rPr>
                <w:rFonts w:ascii="Calibri" w:hAnsi="Calibri"/>
                <w:sz w:val="22"/>
              </w:rPr>
              <w:t>N/A</w:t>
            </w:r>
          </w:p>
        </w:tc>
      </w:tr>
      <w:tr>
        <w:tc>
          <w:tcPr>
            <w:tcW w:type="dxa" w:w="1234"/>
          </w:tcPr>
          <w:p>
            <w:r>
              <w:rPr>
                <w:rFonts w:ascii="Calibri" w:hAnsi="Calibri"/>
                <w:sz w:val="22"/>
              </w:rPr>
              <w:t>Total Retail Sales (GWh)</w:t>
            </w:r>
          </w:p>
        </w:tc>
        <w:tc>
          <w:tcPr>
            <w:tcW w:type="dxa" w:w="1234"/>
          </w:tcPr>
          <w:p>
            <w:r>
              <w:rPr>
                <w:rFonts w:ascii="Calibri" w:hAnsi="Calibri"/>
                <w:sz w:val="22"/>
              </w:rPr>
              <w:t>36,600 GWh</w:t>
            </w:r>
          </w:p>
        </w:tc>
        <w:tc>
          <w:tcPr>
            <w:tcW w:type="dxa" w:w="1234"/>
          </w:tcPr>
          <w:p>
            <w:r>
              <w:rPr>
                <w:rFonts w:ascii="Calibri" w:hAnsi="Calibri"/>
                <w:sz w:val="22"/>
              </w:rPr>
              <w:t>37,194 GWh</w:t>
            </w:r>
          </w:p>
        </w:tc>
        <w:tc>
          <w:tcPr>
            <w:tcW w:type="dxa" w:w="1234"/>
          </w:tcPr>
          <w:p>
            <w:r>
              <w:rPr>
                <w:rFonts w:ascii="Calibri" w:hAnsi="Calibri"/>
                <w:sz w:val="22"/>
              </w:rPr>
              <w:t>39,940 GWh</w:t>
            </w:r>
          </w:p>
        </w:tc>
        <w:tc>
          <w:tcPr>
            <w:tcW w:type="dxa" w:w="1234"/>
          </w:tcPr>
          <w:p>
            <w:r>
              <w:rPr>
                <w:rFonts w:ascii="Calibri" w:hAnsi="Calibri"/>
                <w:sz w:val="22"/>
              </w:rPr>
              <w:t>+7.4%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Georgia Commercial Electric Sales (GWh)</w:t>
            </w:r>
          </w:p>
        </w:tc>
        <w:tc>
          <w:tcPr>
            <w:tcW w:type="dxa" w:w="1234"/>
          </w:tcPr>
          <w:p>
            <w:r>
              <w:rPr>
                <w:rFonts w:ascii="Calibri" w:hAnsi="Calibri"/>
                <w:sz w:val="22"/>
              </w:rPr>
              <w:t>8,423 GWh</w:t>
            </w:r>
          </w:p>
        </w:tc>
        <w:tc>
          <w:tcPr>
            <w:tcW w:type="dxa" w:w="1234"/>
          </w:tcPr>
          <w:p>
            <w:r>
              <w:rPr>
                <w:rFonts w:ascii="Calibri" w:hAnsi="Calibri"/>
                <w:sz w:val="22"/>
              </w:rPr>
              <w:t>8,957 GWh</w:t>
            </w:r>
          </w:p>
        </w:tc>
        <w:tc>
          <w:tcPr>
            <w:tcW w:type="dxa" w:w="1234"/>
          </w:tcPr>
          <w:p>
            <w:r>
              <w:rPr>
                <w:rFonts w:ascii="Calibri" w:hAnsi="Calibri"/>
                <w:sz w:val="22"/>
              </w:rPr>
              <w:t>9,147 GWh</w:t>
            </w:r>
          </w:p>
        </w:tc>
        <w:tc>
          <w:tcPr>
            <w:tcW w:type="dxa" w:w="1234"/>
          </w:tcPr>
          <w:p>
            <w:r>
              <w:rPr>
                <w:rFonts w:ascii="Calibri" w:hAnsi="Calibri"/>
                <w:sz w:val="22"/>
              </w:rPr>
              <w:t>+2.1%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Capital Additions ($B)</w:t>
            </w:r>
          </w:p>
        </w:tc>
        <w:tc>
          <w:tcPr>
            <w:tcW w:type="dxa" w:w="1234"/>
          </w:tcPr>
          <w:p>
            <w:r>
              <w:rPr>
                <w:rFonts w:ascii="Calibri" w:hAnsi="Calibri"/>
                <w:sz w:val="22"/>
              </w:rPr>
              <w:t>$2.94B</w:t>
            </w:r>
          </w:p>
        </w:tc>
        <w:tc>
          <w:tcPr>
            <w:tcW w:type="dxa" w:w="1234"/>
          </w:tcPr>
          <w:p>
            <w:r>
              <w:rPr>
                <w:rFonts w:ascii="Calibri" w:hAnsi="Calibri"/>
                <w:sz w:val="22"/>
              </w:rPr>
              <w:t>$2.80B</w:t>
            </w:r>
          </w:p>
        </w:tc>
        <w:tc>
          <w:tcPr>
            <w:tcW w:type="dxa" w:w="1234"/>
          </w:tcPr>
          <w:p>
            <w:r>
              <w:rPr>
                <w:rFonts w:ascii="Calibri" w:hAnsi="Calibri"/>
                <w:sz w:val="22"/>
              </w:rPr>
              <w:t>$4.15B</w:t>
            </w:r>
          </w:p>
        </w:tc>
        <w:tc>
          <w:tcPr>
            <w:tcW w:type="dxa" w:w="1234"/>
          </w:tcPr>
          <w:p>
            <w:r>
              <w:rPr>
                <w:rFonts w:ascii="Calibri" w:hAnsi="Calibri"/>
                <w:sz w:val="22"/>
              </w:rPr>
              <w:t>+48.2%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FFO / Total Debt (%)</w:t>
            </w:r>
          </w:p>
        </w:tc>
        <w:tc>
          <w:tcPr>
            <w:tcW w:type="dxa" w:w="1234"/>
          </w:tcPr>
          <w:p>
            <w:r>
              <w:rPr>
                <w:rFonts w:ascii="Calibri" w:hAnsi="Calibri"/>
                <w:sz w:val="22"/>
              </w:rPr>
              <w:t>13.1%</w:t>
            </w:r>
          </w:p>
        </w:tc>
        <w:tc>
          <w:tcPr>
            <w:tcW w:type="dxa" w:w="1234"/>
          </w:tcPr>
          <w:p>
            <w:r>
              <w:rPr>
                <w:rFonts w:ascii="Calibri" w:hAnsi="Calibri"/>
                <w:sz w:val="22"/>
              </w:rPr>
              <w:t>13.3%</w:t>
            </w:r>
          </w:p>
        </w:tc>
        <w:tc>
          <w:tcPr>
            <w:tcW w:type="dxa" w:w="1234"/>
          </w:tcPr>
          <w:p>
            <w:r>
              <w:rPr>
                <w:rFonts w:ascii="Calibri" w:hAnsi="Calibri"/>
                <w:sz w:val="22"/>
              </w:rPr>
              <w:t>14.7%</w:t>
            </w:r>
          </w:p>
        </w:tc>
        <w:tc>
          <w:tcPr>
            <w:tcW w:type="dxa" w:w="1234"/>
          </w:tcPr>
          <w:p>
            <w:r>
              <w:rPr>
                <w:rFonts w:ascii="Calibri" w:hAnsi="Calibri"/>
                <w:sz w:val="22"/>
              </w:rPr>
              <w:t>+140 bps</w:t>
            </w:r>
          </w:p>
        </w:tc>
        <w:tc>
          <w:tcPr>
            <w:tcW w:type="dxa" w:w="1234"/>
          </w:tcPr>
          <w:p>
            <w:r>
              <w:rPr>
                <w:rFonts w:ascii="Calibri" w:hAnsi="Calibri"/>
                <w:sz w:val="22"/>
              </w:rPr>
              <w:t>Target 17% by 2029</w:t>
            </w:r>
          </w:p>
        </w:tc>
        <w:tc>
          <w:tcPr>
            <w:tcW w:type="dxa" w:w="1234"/>
          </w:tcPr>
          <w:p>
            <w:r>
              <w:rPr>
                <w:rFonts w:ascii="Calibri" w:hAnsi="Calibri"/>
                <w:sz w:val="22"/>
              </w:rPr>
              <w:t>N/A (annual target)</w:t>
            </w:r>
          </w:p>
        </w:tc>
      </w:tr>
    </w:tbl>
    <w:p>
      <w:r>
        <w:rPr>
          <w:rFonts w:ascii="Calibri" w:hAnsi="Calibri"/>
          <w:i/>
          <w:color w:val="525866"/>
          <w:sz w:val="22"/>
        </w:rPr>
        <w:t>Source: Visible Alpha Consensus and Actuals Data. Adjusted EPS consensus as of July 29, 2026. Q2 2026 management EPS estimate of $1.00 per share stated on Q1 2026 earnings call (April 30, 2026). All actuals from Visible Alpha.</w:t>
      </w:r>
    </w:p>
    <w:p>
      <w:pPr>
        <w:pStyle w:val="Heading3"/>
      </w:pPr>
      <w:r>
        <w:rPr>
          <w:rFonts w:ascii="Calibri" w:hAnsi="Calibri"/>
          <w:b/>
          <w:color w:val="3B4259"/>
          <w:sz w:val="24"/>
        </w:rPr>
        <w:t>Table 2 — Beat/Miss History (Last 8 Quarters, Adjusted EPS &amp; Total Revenue)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Adj. EPS Reported</w:t>
            </w:r>
          </w:p>
        </w:tc>
        <w:tc>
          <w:tcPr>
            <w:tcW w:type="dxa" w:w="1080"/>
            <w:shd w:val="clear" w:color="auto" w:fill="3B4259"/>
          </w:tcPr>
          <w:p>
            <w:r>
              <w:rPr>
                <w:rFonts w:ascii="Calibri" w:hAnsi="Calibri"/>
                <w:b/>
                <w:color w:val="FFFFFF"/>
                <w:sz w:val="22"/>
              </w:rPr>
              <w:t>Adj.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$1.32</w:t>
            </w:r>
          </w:p>
        </w:tc>
        <w:tc>
          <w:tcPr>
            <w:tcW w:type="dxa" w:w="1080"/>
          </w:tcPr>
          <w:p>
            <w:r>
              <w:rPr>
                <w:rFonts w:ascii="Calibri" w:hAnsi="Calibri"/>
                <w:sz w:val="22"/>
              </w:rPr>
              <w:t>$1.24</w:t>
            </w:r>
          </w:p>
        </w:tc>
        <w:tc>
          <w:tcPr>
            <w:tcW w:type="dxa" w:w="1080"/>
          </w:tcPr>
          <w:p>
            <w:r>
              <w:rPr>
                <w:rFonts w:ascii="Calibri" w:hAnsi="Calibri"/>
                <w:b/>
                <w:color w:val="30A46C"/>
                <w:sz w:val="22"/>
              </w:rPr>
              <w:t>+6.5%</w:t>
            </w:r>
          </w:p>
        </w:tc>
        <w:tc>
          <w:tcPr>
            <w:tcW w:type="dxa" w:w="1080"/>
          </w:tcPr>
          <w:p>
            <w:r>
              <w:rPr>
                <w:rFonts w:ascii="Calibri" w:hAnsi="Calibri"/>
                <w:sz w:val="22"/>
              </w:rPr>
              <w:t>$8.40B</w:t>
            </w:r>
          </w:p>
        </w:tc>
        <w:tc>
          <w:tcPr>
            <w:tcW w:type="dxa" w:w="1080"/>
          </w:tcPr>
          <w:p>
            <w:r>
              <w:rPr>
                <w:rFonts w:ascii="Calibri" w:hAnsi="Calibri"/>
                <w:sz w:val="22"/>
              </w:rPr>
              <w:t>$7.98B</w:t>
            </w:r>
          </w:p>
        </w:tc>
        <w:tc>
          <w:tcPr>
            <w:tcW w:type="dxa" w:w="1080"/>
          </w:tcPr>
          <w:p>
            <w:r>
              <w:rPr>
                <w:rFonts w:ascii="Calibri" w:hAnsi="Calibri"/>
                <w:b/>
                <w:color w:val="30A46C"/>
                <w:sz w:val="22"/>
              </w:rPr>
              <w:t>+5.3%</w:t>
            </w:r>
          </w:p>
        </w:tc>
        <w:tc>
          <w:tcPr>
            <w:tcW w:type="dxa" w:w="1080"/>
          </w:tcPr>
          <w:p>
            <w:r>
              <w:rPr>
                <w:rFonts w:ascii="Calibri" w:hAnsi="Calibri"/>
                <w:b/>
                <w:sz w:val="22"/>
              </w:rPr>
              <w:t>Beat</w:t>
            </w:r>
          </w:p>
        </w:tc>
      </w:tr>
      <w:tr>
        <w:tc>
          <w:tcPr>
            <w:tcW w:type="dxa" w:w="1080"/>
          </w:tcPr>
          <w:p>
            <w:r>
              <w:rPr>
                <w:rFonts w:ascii="Calibri" w:hAnsi="Calibri"/>
                <w:sz w:val="22"/>
              </w:rPr>
              <w:t>Q4 2025</w:t>
            </w:r>
          </w:p>
        </w:tc>
        <w:tc>
          <w:tcPr>
            <w:tcW w:type="dxa" w:w="1080"/>
          </w:tcPr>
          <w:p>
            <w:r>
              <w:rPr>
                <w:rFonts w:ascii="Calibri" w:hAnsi="Calibri"/>
                <w:sz w:val="22"/>
              </w:rPr>
              <w:t>$0.55</w:t>
            </w:r>
          </w:p>
        </w:tc>
        <w:tc>
          <w:tcPr>
            <w:tcW w:type="dxa" w:w="1080"/>
          </w:tcPr>
          <w:p>
            <w:r>
              <w:rPr>
                <w:rFonts w:ascii="Calibri" w:hAnsi="Calibri"/>
                <w:sz w:val="22"/>
              </w:rPr>
              <w:t>$0.58</w:t>
            </w:r>
          </w:p>
        </w:tc>
        <w:tc>
          <w:tcPr>
            <w:tcW w:type="dxa" w:w="1080"/>
          </w:tcPr>
          <w:p>
            <w:r>
              <w:rPr>
                <w:rFonts w:ascii="Calibri" w:hAnsi="Calibri"/>
                <w:b/>
                <w:color w:val="E5484D"/>
                <w:sz w:val="22"/>
              </w:rPr>
              <w:t>-4.8%</w:t>
            </w:r>
          </w:p>
        </w:tc>
        <w:tc>
          <w:tcPr>
            <w:tcW w:type="dxa" w:w="1080"/>
          </w:tcPr>
          <w:p>
            <w:r>
              <w:rPr>
                <w:rFonts w:ascii="Calibri" w:hAnsi="Calibri"/>
                <w:sz w:val="22"/>
              </w:rPr>
              <w:t>$6.98B</w:t>
            </w:r>
          </w:p>
        </w:tc>
        <w:tc>
          <w:tcPr>
            <w:tcW w:type="dxa" w:w="1080"/>
          </w:tcPr>
          <w:p>
            <w:r>
              <w:rPr>
                <w:rFonts w:ascii="Calibri" w:hAnsi="Calibri"/>
                <w:sz w:val="22"/>
              </w:rPr>
              <w:t>$6.19B</w:t>
            </w:r>
          </w:p>
        </w:tc>
        <w:tc>
          <w:tcPr>
            <w:tcW w:type="dxa" w:w="1080"/>
          </w:tcPr>
          <w:p>
            <w:r>
              <w:rPr>
                <w:rFonts w:ascii="Calibri" w:hAnsi="Calibri"/>
                <w:b/>
                <w:color w:val="30A46C"/>
                <w:sz w:val="22"/>
              </w:rPr>
              <w:t>+12.8%</w:t>
            </w:r>
          </w:p>
        </w:tc>
        <w:tc>
          <w:tcPr>
            <w:tcW w:type="dxa" w:w="1080"/>
          </w:tcPr>
          <w:p>
            <w:r>
              <w:rPr>
                <w:rFonts w:ascii="Calibri" w:hAnsi="Calibri"/>
                <w:sz w:val="22"/>
              </w:rPr>
              <w:t>Mixed</w:t>
            </w:r>
          </w:p>
        </w:tc>
      </w:tr>
      <w:tr>
        <w:tc>
          <w:tcPr>
            <w:tcW w:type="dxa" w:w="1080"/>
          </w:tcPr>
          <w:p>
            <w:r>
              <w:rPr>
                <w:rFonts w:ascii="Calibri" w:hAnsi="Calibri"/>
                <w:sz w:val="22"/>
              </w:rPr>
              <w:t>Q3 2025</w:t>
            </w:r>
          </w:p>
        </w:tc>
        <w:tc>
          <w:tcPr>
            <w:tcW w:type="dxa" w:w="1080"/>
          </w:tcPr>
          <w:p>
            <w:r>
              <w:rPr>
                <w:rFonts w:ascii="Calibri" w:hAnsi="Calibri"/>
                <w:sz w:val="22"/>
              </w:rPr>
              <w:t>$1.59</w:t>
            </w:r>
          </w:p>
        </w:tc>
        <w:tc>
          <w:tcPr>
            <w:tcW w:type="dxa" w:w="1080"/>
          </w:tcPr>
          <w:p>
            <w:r>
              <w:rPr>
                <w:rFonts w:ascii="Calibri" w:hAnsi="Calibri"/>
                <w:sz w:val="22"/>
              </w:rPr>
              <w:t>$1.50</w:t>
            </w:r>
          </w:p>
        </w:tc>
        <w:tc>
          <w:tcPr>
            <w:tcW w:type="dxa" w:w="1080"/>
          </w:tcPr>
          <w:p>
            <w:r>
              <w:rPr>
                <w:rFonts w:ascii="Calibri" w:hAnsi="Calibri"/>
                <w:b/>
                <w:color w:val="30A46C"/>
                <w:sz w:val="22"/>
              </w:rPr>
              <w:t>+6.0%</w:t>
            </w:r>
          </w:p>
        </w:tc>
        <w:tc>
          <w:tcPr>
            <w:tcW w:type="dxa" w:w="1080"/>
          </w:tcPr>
          <w:p>
            <w:r>
              <w:rPr>
                <w:rFonts w:ascii="Calibri" w:hAnsi="Calibri"/>
                <w:sz w:val="22"/>
              </w:rPr>
              <w:t>$7.82B</w:t>
            </w:r>
          </w:p>
        </w:tc>
        <w:tc>
          <w:tcPr>
            <w:tcW w:type="dxa" w:w="1080"/>
          </w:tcPr>
          <w:p>
            <w:r>
              <w:rPr>
                <w:rFonts w:ascii="Calibri" w:hAnsi="Calibri"/>
                <w:sz w:val="22"/>
              </w:rPr>
              <w:t>$7.82B</w:t>
            </w:r>
          </w:p>
        </w:tc>
        <w:tc>
          <w:tcPr>
            <w:tcW w:type="dxa" w:w="1080"/>
          </w:tcPr>
          <w:p>
            <w:r>
              <w:rPr>
                <w:rFonts w:ascii="Calibri" w:hAnsi="Calibri"/>
                <w:sz w:val="22"/>
              </w:rPr>
              <w:t>0.0%</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$0.92</w:t>
            </w:r>
          </w:p>
        </w:tc>
        <w:tc>
          <w:tcPr>
            <w:tcW w:type="dxa" w:w="1080"/>
          </w:tcPr>
          <w:p>
            <w:r>
              <w:rPr>
                <w:rFonts w:ascii="Calibri" w:hAnsi="Calibri"/>
                <w:sz w:val="22"/>
              </w:rPr>
              <w:t>$0.87</w:t>
            </w:r>
          </w:p>
        </w:tc>
        <w:tc>
          <w:tcPr>
            <w:tcW w:type="dxa" w:w="1080"/>
          </w:tcPr>
          <w:p>
            <w:r>
              <w:rPr>
                <w:rFonts w:ascii="Calibri" w:hAnsi="Calibri"/>
                <w:b/>
                <w:color w:val="30A46C"/>
                <w:sz w:val="22"/>
              </w:rPr>
              <w:t>+5.4%</w:t>
            </w:r>
          </w:p>
        </w:tc>
        <w:tc>
          <w:tcPr>
            <w:tcW w:type="dxa" w:w="1080"/>
          </w:tcPr>
          <w:p>
            <w:r>
              <w:rPr>
                <w:rFonts w:ascii="Calibri" w:hAnsi="Calibri"/>
                <w:sz w:val="22"/>
              </w:rPr>
              <w:t>$6.97B</w:t>
            </w:r>
          </w:p>
        </w:tc>
        <w:tc>
          <w:tcPr>
            <w:tcW w:type="dxa" w:w="1080"/>
          </w:tcPr>
          <w:p>
            <w:r>
              <w:rPr>
                <w:rFonts w:ascii="Calibri" w:hAnsi="Calibri"/>
                <w:sz w:val="22"/>
              </w:rPr>
              <w:t>$6.26B</w:t>
            </w:r>
          </w:p>
        </w:tc>
        <w:tc>
          <w:tcPr>
            <w:tcW w:type="dxa" w:w="1080"/>
          </w:tcPr>
          <w:p>
            <w:r>
              <w:rPr>
                <w:rFonts w:ascii="Calibri" w:hAnsi="Calibri"/>
                <w:b/>
                <w:color w:val="30A46C"/>
                <w:sz w:val="22"/>
              </w:rPr>
              <w:t>+11.3%</w:t>
            </w:r>
          </w:p>
        </w:tc>
        <w:tc>
          <w:tcPr>
            <w:tcW w:type="dxa" w:w="1080"/>
          </w:tcPr>
          <w:p>
            <w:r>
              <w:rPr>
                <w:rFonts w:ascii="Calibri" w:hAnsi="Calibri"/>
                <w:sz w:val="22"/>
              </w:rPr>
              <w:t>Beat</w:t>
            </w:r>
          </w:p>
        </w:tc>
      </w:tr>
      <w:tr>
        <w:tc>
          <w:tcPr>
            <w:tcW w:type="dxa" w:w="1080"/>
          </w:tcPr>
          <w:p>
            <w:r>
              <w:rPr>
                <w:rFonts w:ascii="Calibri" w:hAnsi="Calibri"/>
                <w:sz w:val="22"/>
              </w:rPr>
              <w:t>Q1 2025</w:t>
            </w:r>
          </w:p>
        </w:tc>
        <w:tc>
          <w:tcPr>
            <w:tcW w:type="dxa" w:w="1080"/>
          </w:tcPr>
          <w:p>
            <w:r>
              <w:rPr>
                <w:rFonts w:ascii="Calibri" w:hAnsi="Calibri"/>
                <w:sz w:val="22"/>
              </w:rPr>
              <w:t>$1.23</w:t>
            </w:r>
          </w:p>
        </w:tc>
        <w:tc>
          <w:tcPr>
            <w:tcW w:type="dxa" w:w="1080"/>
          </w:tcPr>
          <w:p>
            <w:r>
              <w:rPr>
                <w:rFonts w:ascii="Calibri" w:hAnsi="Calibri"/>
                <w:sz w:val="22"/>
              </w:rPr>
              <w:t>$1.20</w:t>
            </w:r>
          </w:p>
        </w:tc>
        <w:tc>
          <w:tcPr>
            <w:tcW w:type="dxa" w:w="1080"/>
          </w:tcPr>
          <w:p>
            <w:r>
              <w:rPr>
                <w:rFonts w:ascii="Calibri" w:hAnsi="Calibri"/>
                <w:b/>
                <w:color w:val="30A46C"/>
                <w:sz w:val="22"/>
              </w:rPr>
              <w:t>+2.1%</w:t>
            </w:r>
          </w:p>
        </w:tc>
        <w:tc>
          <w:tcPr>
            <w:tcW w:type="dxa" w:w="1080"/>
          </w:tcPr>
          <w:p>
            <w:r>
              <w:rPr>
                <w:rFonts w:ascii="Calibri" w:hAnsi="Calibri"/>
                <w:sz w:val="22"/>
              </w:rPr>
              <w:t>$7.78B</w:t>
            </w:r>
          </w:p>
        </w:tc>
        <w:tc>
          <w:tcPr>
            <w:tcW w:type="dxa" w:w="1080"/>
          </w:tcPr>
          <w:p>
            <w:r>
              <w:rPr>
                <w:rFonts w:ascii="Calibri" w:hAnsi="Calibri"/>
                <w:sz w:val="22"/>
              </w:rPr>
              <w:t>$7.15B</w:t>
            </w:r>
          </w:p>
        </w:tc>
        <w:tc>
          <w:tcPr>
            <w:tcW w:type="dxa" w:w="1080"/>
          </w:tcPr>
          <w:p>
            <w:r>
              <w:rPr>
                <w:rFonts w:ascii="Calibri" w:hAnsi="Calibri"/>
                <w:b/>
                <w:color w:val="30A46C"/>
                <w:sz w:val="22"/>
              </w:rPr>
              <w:t>+8.8%</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$0.49</w:t>
            </w:r>
          </w:p>
        </w:tc>
        <w:tc>
          <w:tcPr>
            <w:tcW w:type="dxa" w:w="1080"/>
          </w:tcPr>
          <w:p>
            <w:r>
              <w:rPr>
                <w:rFonts w:ascii="Calibri" w:hAnsi="Calibri"/>
                <w:sz w:val="22"/>
              </w:rPr>
              <w:t>$0.50</w:t>
            </w:r>
          </w:p>
        </w:tc>
        <w:tc>
          <w:tcPr>
            <w:tcW w:type="dxa" w:w="1080"/>
          </w:tcPr>
          <w:p>
            <w:r>
              <w:rPr>
                <w:rFonts w:ascii="Calibri" w:hAnsi="Calibri"/>
                <w:b/>
                <w:color w:val="E5484D"/>
                <w:sz w:val="22"/>
              </w:rPr>
              <w:t>-2.0%</w:t>
            </w:r>
          </w:p>
        </w:tc>
        <w:tc>
          <w:tcPr>
            <w:tcW w:type="dxa" w:w="1080"/>
          </w:tcPr>
          <w:p>
            <w:r>
              <w:rPr>
                <w:rFonts w:ascii="Calibri" w:hAnsi="Calibri"/>
                <w:sz w:val="22"/>
              </w:rPr>
              <w:t>$6.34B</w:t>
            </w:r>
          </w:p>
        </w:tc>
        <w:tc>
          <w:tcPr>
            <w:tcW w:type="dxa" w:w="1080"/>
          </w:tcPr>
          <w:p>
            <w:r>
              <w:rPr>
                <w:rFonts w:ascii="Calibri" w:hAnsi="Calibri"/>
                <w:sz w:val="22"/>
              </w:rPr>
              <w:t>$5.80B</w:t>
            </w:r>
          </w:p>
        </w:tc>
        <w:tc>
          <w:tcPr>
            <w:tcW w:type="dxa" w:w="1080"/>
          </w:tcPr>
          <w:p>
            <w:r>
              <w:rPr>
                <w:rFonts w:ascii="Calibri" w:hAnsi="Calibri"/>
                <w:b/>
                <w:color w:val="30A46C"/>
                <w:sz w:val="22"/>
              </w:rPr>
              <w:t>+9.3%</w:t>
            </w:r>
          </w:p>
        </w:tc>
        <w:tc>
          <w:tcPr>
            <w:tcW w:type="dxa" w:w="1080"/>
          </w:tcPr>
          <w:p>
            <w:r>
              <w:rPr>
                <w:rFonts w:ascii="Calibri" w:hAnsi="Calibri"/>
                <w:sz w:val="22"/>
              </w:rPr>
              <w:t>Mixed</w:t>
            </w:r>
          </w:p>
        </w:tc>
      </w:tr>
      <w:tr>
        <w:tc>
          <w:tcPr>
            <w:tcW w:type="dxa" w:w="1080"/>
          </w:tcPr>
          <w:p>
            <w:r>
              <w:rPr>
                <w:rFonts w:ascii="Calibri" w:hAnsi="Calibri"/>
                <w:sz w:val="22"/>
              </w:rPr>
              <w:t>Q3 2024</w:t>
            </w:r>
          </w:p>
        </w:tc>
        <w:tc>
          <w:tcPr>
            <w:tcW w:type="dxa" w:w="1080"/>
          </w:tcPr>
          <w:p>
            <w:r>
              <w:rPr>
                <w:rFonts w:ascii="Calibri" w:hAnsi="Calibri"/>
                <w:sz w:val="22"/>
              </w:rPr>
              <w:t>$1.43</w:t>
            </w:r>
          </w:p>
        </w:tc>
        <w:tc>
          <w:tcPr>
            <w:tcW w:type="dxa" w:w="1080"/>
          </w:tcPr>
          <w:p>
            <w:r>
              <w:rPr>
                <w:rFonts w:ascii="Calibri" w:hAnsi="Calibri"/>
                <w:sz w:val="22"/>
              </w:rPr>
              <w:t>$1.33</w:t>
            </w:r>
          </w:p>
        </w:tc>
        <w:tc>
          <w:tcPr>
            <w:tcW w:type="dxa" w:w="1080"/>
          </w:tcPr>
          <w:p>
            <w:r>
              <w:rPr>
                <w:rFonts w:ascii="Calibri" w:hAnsi="Calibri"/>
                <w:b/>
                <w:color w:val="30A46C"/>
                <w:sz w:val="22"/>
              </w:rPr>
              <w:t>+7.5%</w:t>
            </w:r>
          </w:p>
        </w:tc>
        <w:tc>
          <w:tcPr>
            <w:tcW w:type="dxa" w:w="1080"/>
          </w:tcPr>
          <w:p>
            <w:r>
              <w:rPr>
                <w:rFonts w:ascii="Calibri" w:hAnsi="Calibri"/>
                <w:sz w:val="22"/>
              </w:rPr>
              <w:t>$7.27B</w:t>
            </w:r>
          </w:p>
        </w:tc>
        <w:tc>
          <w:tcPr>
            <w:tcW w:type="dxa" w:w="1080"/>
          </w:tcPr>
          <w:p>
            <w:r>
              <w:rPr>
                <w:rFonts w:ascii="Calibri" w:hAnsi="Calibri"/>
                <w:sz w:val="22"/>
              </w:rPr>
              <w:t>$6.95B</w:t>
            </w:r>
          </w:p>
        </w:tc>
        <w:tc>
          <w:tcPr>
            <w:tcW w:type="dxa" w:w="1080"/>
          </w:tcPr>
          <w:p>
            <w:r>
              <w:rPr>
                <w:rFonts w:ascii="Calibri" w:hAnsi="Calibri"/>
                <w:b/>
                <w:color w:val="30A46C"/>
                <w:sz w:val="22"/>
              </w:rPr>
              <w:t>+4.6%</w:t>
            </w:r>
          </w:p>
        </w:tc>
        <w:tc>
          <w:tcPr>
            <w:tcW w:type="dxa" w:w="1080"/>
          </w:tcPr>
          <w:p>
            <w:r>
              <w:rPr>
                <w:rFonts w:ascii="Calibri" w:hAnsi="Calibri"/>
                <w:sz w:val="22"/>
              </w:rPr>
              <w:t>Beat</w:t>
            </w:r>
          </w:p>
        </w:tc>
      </w:tr>
      <w:tr>
        <w:tc>
          <w:tcPr>
            <w:tcW w:type="dxa" w:w="1080"/>
          </w:tcPr>
          <w:p>
            <w:r>
              <w:rPr>
                <w:rFonts w:ascii="Calibri" w:hAnsi="Calibri"/>
                <w:sz w:val="22"/>
              </w:rPr>
              <w:t>Q2 2024</w:t>
            </w:r>
          </w:p>
        </w:tc>
        <w:tc>
          <w:tcPr>
            <w:tcW w:type="dxa" w:w="1080"/>
          </w:tcPr>
          <w:p>
            <w:r>
              <w:rPr>
                <w:rFonts w:ascii="Calibri" w:hAnsi="Calibri"/>
                <w:sz w:val="22"/>
              </w:rPr>
              <w:t>N/A — not in VA for this period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Pattern: SO has beaten adjusted EPS consensus in 5 of the last 7 reported quarters, with the two misses concentrated in seasonally weak Q4 periods. Revenue beats have been consistent and large, reflecting the company's tendency to under-guide on load growth. The Q1 2026 beat of +$0.12 vs. management's own estimate was the largest in recent history.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April 30 Q1 2026 earnings call — no post-earnings 8-K or conference has revised the Q2 estimate or full-year framework. Management tone has been consistently bullish, with the DOE loan package and accelerating large-load pipeline reinforcing confidence in the 7–8% long-term EPS CAGR.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Adjusted EPS</w:t>
            </w:r>
          </w:p>
        </w:tc>
        <w:tc>
          <w:tcPr>
            <w:tcW w:type="dxa" w:w="1728"/>
          </w:tcPr>
          <w:p>
            <w:r>
              <w:rPr>
                <w:rFonts w:ascii="Calibri" w:hAnsi="Calibri"/>
                <w:sz w:val="22"/>
              </w:rPr>
              <w:t>$1.00 per share</w:t>
            </w:r>
          </w:p>
        </w:tc>
        <w:tc>
          <w:tcPr>
            <w:tcW w:type="dxa" w:w="1728"/>
          </w:tcPr>
          <w:p>
            <w:r>
              <w:rPr>
                <w:rFonts w:ascii="Calibri" w:hAnsi="Calibri"/>
                <w:sz w:val="22"/>
              </w:rPr>
              <w:t>—</w:t>
            </w:r>
          </w:p>
        </w:tc>
        <w:tc>
          <w:tcPr>
            <w:tcW w:type="dxa" w:w="1728"/>
          </w:tcPr>
          <w:p>
            <w:r>
              <w:rPr>
                <w:rFonts w:ascii="Calibri" w:hAnsi="Calibri"/>
                <w:sz w:val="22"/>
              </w:rPr>
              <w:t>$0.98</w:t>
            </w:r>
          </w:p>
        </w:tc>
        <w:tc>
          <w:tcPr>
            <w:tcW w:type="dxa" w:w="1728"/>
          </w:tcPr>
          <w:p>
            <w:r>
              <w:rPr>
                <w:rFonts w:ascii="Calibri" w:hAnsi="Calibri"/>
                <w:sz w:val="22"/>
              </w:rPr>
              <w:t>No post-earnings revision. Consensus sits 2% below management estimate.</w:t>
            </w:r>
          </w:p>
        </w:tc>
      </w:tr>
      <w:tr>
        <w:tc>
          <w:tcPr>
            <w:tcW w:type="dxa" w:w="1728"/>
          </w:tcPr>
          <w:p>
            <w:r>
              <w:rPr>
                <w:rFonts w:ascii="Calibri" w:hAnsi="Calibri"/>
                <w:sz w:val="22"/>
              </w:rPr>
              <w:t>FY 2026 Adjusted EPS</w:t>
            </w:r>
          </w:p>
        </w:tc>
        <w:tc>
          <w:tcPr>
            <w:tcW w:type="dxa" w:w="1728"/>
          </w:tcPr>
          <w:p>
            <w:r>
              <w:rPr>
                <w:rFonts w:ascii="Calibri" w:hAnsi="Calibri"/>
                <w:sz w:val="22"/>
              </w:rPr>
              <w:t>~$4.57 (implied by multi-year framework; no explicit FY range restated on Q1 call)</w:t>
            </w:r>
          </w:p>
        </w:tc>
        <w:tc>
          <w:tcPr>
            <w:tcW w:type="dxa" w:w="1728"/>
          </w:tcPr>
          <w:p>
            <w:r>
              <w:rPr>
                <w:rFonts w:ascii="Calibri" w:hAnsi="Calibri"/>
                <w:sz w:val="22"/>
              </w:rPr>
              <w:t>—</w:t>
            </w:r>
          </w:p>
        </w:tc>
        <w:tc>
          <w:tcPr>
            <w:tcW w:type="dxa" w:w="1728"/>
          </w:tcPr>
          <w:p>
            <w:r>
              <w:rPr>
                <w:rFonts w:ascii="Calibri" w:hAnsi="Calibri"/>
                <w:sz w:val="22"/>
              </w:rPr>
              <w:t>$4.58</w:t>
            </w:r>
          </w:p>
        </w:tc>
        <w:tc>
          <w:tcPr>
            <w:tcW w:type="dxa" w:w="1728"/>
          </w:tcPr>
          <w:p>
            <w:r>
              <w:rPr>
                <w:rFonts w:ascii="Calibri" w:hAnsi="Calibri"/>
                <w:sz w:val="22"/>
              </w:rPr>
              <w:t>Consensus essentially in line with implied guidance. No revision since Q1 print.</w:t>
            </w:r>
          </w:p>
        </w:tc>
      </w:tr>
      <w:tr>
        <w:tc>
          <w:tcPr>
            <w:tcW w:type="dxa" w:w="1728"/>
          </w:tcPr>
          <w:p>
            <w:r>
              <w:rPr>
                <w:rFonts w:ascii="Calibri" w:hAnsi="Calibri"/>
                <w:sz w:val="22"/>
              </w:rPr>
              <w:t>Long-Term EPS CAGR</w:t>
            </w:r>
          </w:p>
        </w:tc>
        <w:tc>
          <w:tcPr>
            <w:tcW w:type="dxa" w:w="1728"/>
          </w:tcPr>
          <w:p>
            <w:r>
              <w:rPr>
                <w:rFonts w:ascii="Calibri" w:hAnsi="Calibri"/>
                <w:sz w:val="22"/>
              </w:rPr>
              <w:t>~7–8% from 2026 midpoint through 2030; potential upside from Southern Power recontracting and incremental large-load capital</w:t>
            </w:r>
          </w:p>
        </w:tc>
        <w:tc>
          <w:tcPr>
            <w:tcW w:type="dxa" w:w="1728"/>
          </w:tcPr>
          <w:p>
            <w:r>
              <w:rPr>
                <w:rFonts w:ascii="Calibri" w:hAnsi="Calibri"/>
                <w:sz w:val="22"/>
              </w:rPr>
              <w:t>—</w:t>
            </w:r>
          </w:p>
        </w:tc>
        <w:tc>
          <w:tcPr>
            <w:tcW w:type="dxa" w:w="1728"/>
          </w:tcPr>
          <w:p>
            <w:r>
              <w:rPr>
                <w:rFonts w:ascii="Calibri" w:hAnsi="Calibri"/>
                <w:sz w:val="22"/>
              </w:rPr>
              <w:t>N/A (not a consensus item)</w:t>
            </w:r>
          </w:p>
        </w:tc>
        <w:tc>
          <w:tcPr>
            <w:tcW w:type="dxa" w:w="1728"/>
          </w:tcPr>
          <w:p>
            <w:r>
              <w:rPr>
                <w:rFonts w:ascii="Calibri" w:hAnsi="Calibri"/>
                <w:sz w:val="22"/>
              </w:rPr>
              <w:t>Unchanged. Management reiterated "strengthening and durability" of 7–8% target.</w:t>
            </w:r>
          </w:p>
        </w:tc>
      </w:tr>
      <w:tr>
        <w:tc>
          <w:tcPr>
            <w:tcW w:type="dxa" w:w="1728"/>
          </w:tcPr>
          <w:p>
            <w:r>
              <w:rPr>
                <w:rFonts w:ascii="Calibri" w:hAnsi="Calibri"/>
                <w:sz w:val="22"/>
              </w:rPr>
              <w:t>Remaining Equity Need (through 2030)</w:t>
            </w:r>
          </w:p>
        </w:tc>
        <w:tc>
          <w:tcPr>
            <w:tcW w:type="dxa" w:w="1728"/>
          </w:tcPr>
          <w:p>
            <w:r>
              <w:rPr>
                <w:rFonts w:ascii="Calibri" w:hAnsi="Calibri"/>
                <w:sz w:val="22"/>
              </w:rPr>
              <w:t>~$1.8B (after $26.5B DOE loan and $500M ATM sourced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DOE loan de-risked financing plan materially. No change since Q1 call.</w:t>
            </w:r>
          </w:p>
        </w:tc>
      </w:tr>
      <w:tr>
        <w:tc>
          <w:tcPr>
            <w:tcW w:type="dxa" w:w="1728"/>
          </w:tcPr>
          <w:p>
            <w:r>
              <w:rPr>
                <w:rFonts w:ascii="Calibri" w:hAnsi="Calibri"/>
                <w:sz w:val="22"/>
              </w:rPr>
              <w:t>FFO / Debt Target</w:t>
            </w:r>
          </w:p>
        </w:tc>
        <w:tc>
          <w:tcPr>
            <w:tcW w:type="dxa" w:w="1728"/>
          </w:tcPr>
          <w:p>
            <w:r>
              <w:rPr>
                <w:rFonts w:ascii="Calibri" w:hAnsi="Calibri"/>
                <w:sz w:val="22"/>
              </w:rPr>
              <w:t>17% by 2029</w:t>
            </w:r>
          </w:p>
        </w:tc>
        <w:tc>
          <w:tcPr>
            <w:tcW w:type="dxa" w:w="1728"/>
          </w:tcPr>
          <w:p>
            <w:r>
              <w:rPr>
                <w:rFonts w:ascii="Calibri" w:hAnsi="Calibri"/>
                <w:sz w:val="22"/>
              </w:rPr>
              <w:t>—</w:t>
            </w:r>
          </w:p>
        </w:tc>
        <w:tc>
          <w:tcPr>
            <w:tcW w:type="dxa" w:w="1728"/>
          </w:tcPr>
          <w:p>
            <w:r>
              <w:rPr>
                <w:rFonts w:ascii="Calibri" w:hAnsi="Calibri"/>
                <w:sz w:val="22"/>
              </w:rPr>
              <w:t>~14.8% (FY 2026 consensus)</w:t>
            </w:r>
          </w:p>
        </w:tc>
        <w:tc>
          <w:tcPr>
            <w:tcW w:type="dxa" w:w="1728"/>
          </w:tcPr>
          <w:p>
            <w:r>
              <w:rPr>
                <w:rFonts w:ascii="Calibri" w:hAnsi="Calibri"/>
                <w:sz w:val="22"/>
              </w:rPr>
              <w:t>On track; improving trajectory as equity issuances materialize.</w:t>
            </w:r>
          </w:p>
        </w:tc>
      </w:tr>
      <w:tr>
        <w:tc>
          <w:tcPr>
            <w:tcW w:type="dxa" w:w="1728"/>
          </w:tcPr>
          <w:p>
            <w:r>
              <w:rPr>
                <w:rFonts w:ascii="Calibri" w:hAnsi="Calibri"/>
                <w:sz w:val="22"/>
              </w:rPr>
              <w:t>Large Load Contracted (GW)</w:t>
            </w:r>
          </w:p>
        </w:tc>
        <w:tc>
          <w:tcPr>
            <w:tcW w:type="dxa" w:w="1728"/>
          </w:tcPr>
          <w:p>
            <w:r>
              <w:rPr>
                <w:rFonts w:ascii="Calibri" w:hAnsi="Calibri"/>
                <w:sz w:val="22"/>
              </w:rPr>
              <w:t>&gt;11 GW contracted; 12 GW late-stage; &gt;75 GW prospective pipeline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watch item for Q2 call — any increase in contracted or late-stage GW is a positive catalyst.</w:t>
            </w:r>
          </w:p>
        </w:tc>
      </w:tr>
      <w:tr>
        <w:tc>
          <w:tcPr>
            <w:tcW w:type="dxa" w:w="1728"/>
          </w:tcPr>
          <w:p>
            <w:r>
              <w:rPr>
                <w:rFonts w:ascii="Calibri" w:hAnsi="Calibri"/>
                <w:sz w:val="22"/>
              </w:rPr>
              <w:t>Georgia Power All-Source RFP</w:t>
            </w:r>
          </w:p>
        </w:tc>
        <w:tc>
          <w:tcPr>
            <w:tcW w:type="dxa" w:w="1728"/>
          </w:tcPr>
          <w:p>
            <w:r>
              <w:rPr>
                <w:rFonts w:ascii="Calibri" w:hAnsi="Calibri"/>
                <w:sz w:val="22"/>
              </w:rPr>
              <w:t>2–6 GW dispatchable generation; selection process through end of 2026; certification 2027; in-service 2032–33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Process ongoing. Any update on RFP progress or company-owned resource selection would be incremental upside to capital plan.</w:t>
            </w:r>
          </w:p>
        </w:tc>
      </w:tr>
      <w:tr>
        <w:tc>
          <w:tcPr>
            <w:tcW w:type="dxa" w:w="1728"/>
          </w:tcPr>
          <w:p>
            <w:r>
              <w:rPr>
                <w:rFonts w:ascii="Calibri" w:hAnsi="Calibri"/>
                <w:sz w:val="22"/>
              </w:rPr>
              <w:t>Southern Power Uprates</w:t>
            </w:r>
          </w:p>
        </w:tc>
        <w:tc>
          <w:tcPr>
            <w:tcW w:type="dxa" w:w="1728"/>
          </w:tcPr>
          <w:p>
            <w:r>
              <w:rPr>
                <w:rFonts w:ascii="Calibri" w:hAnsi="Calibri"/>
                <w:sz w:val="22"/>
              </w:rPr>
              <w:t>400 MW announced (+$700M capex, 2029–31 COD); 300 MW additional under evaluation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Construction began 2026. Watch for update on 300 MW evaluation.</w:t>
            </w:r>
          </w:p>
        </w:tc>
      </w:tr>
    </w:tbl>
    <w:p>
      <w:r>
        <w:rPr>
          <w:rFonts w:ascii="Calibri" w:hAnsi="Calibri"/>
          <w:i/>
          <w:color w:val="525866"/>
          <w:sz w:val="22"/>
        </w:rPr>
        <w:t>Source: SO Q1 2026 Earnings Call transcript (April 30, 2026). No post-earnings 8-K or conference guidance revision identified between April 30 and July 29,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lower since the Q1 print (from ~$1.02 to ~$0.98), while full-year 2026 and 2027 estimates are essentially flat — the Street is not revising the long-term thesis but is applying seasonal conservatism to the near-term quarter. The gap between consensus (~$0.98) and management's own Q2 estimate ($1.00) represents a small but real cushion for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(c.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$1.02</w:t>
            </w:r>
          </w:p>
        </w:tc>
        <w:tc>
          <w:tcPr>
            <w:tcW w:type="dxa" w:w="1080"/>
          </w:tcPr>
          <w:p>
            <w:r>
              <w:rPr>
                <w:rFonts w:ascii="Calibri" w:hAnsi="Calibri"/>
                <w:sz w:val="22"/>
              </w:rPr>
              <w:t>$0.98</w:t>
            </w:r>
          </w:p>
        </w:tc>
        <w:tc>
          <w:tcPr>
            <w:tcW w:type="dxa" w:w="1080"/>
          </w:tcPr>
          <w:p>
            <w:r>
              <w:rPr>
                <w:rFonts w:ascii="Calibri" w:hAnsi="Calibri"/>
                <w:sz w:val="22"/>
              </w:rPr>
              <w:t>-3.9%</w:t>
            </w:r>
          </w:p>
        </w:tc>
        <w:tc>
          <w:tcPr>
            <w:tcW w:type="dxa" w:w="1080"/>
          </w:tcPr>
          <w:p>
            <w:r>
              <w:rPr>
                <w:rFonts w:ascii="Calibri" w:hAnsi="Calibri"/>
                <w:sz w:val="22"/>
              </w:rPr>
              <w:t>$1.00</w:t>
            </w:r>
          </w:p>
        </w:tc>
        <w:tc>
          <w:tcPr>
            <w:tcW w:type="dxa" w:w="1080"/>
          </w:tcPr>
          <w:p>
            <w:r>
              <w:rPr>
                <w:rFonts w:ascii="Calibri" w:hAnsi="Calibri"/>
                <w:sz w:val="22"/>
              </w:rPr>
              <w:t>$1.00 (unchanged)</w:t>
            </w:r>
          </w:p>
        </w:tc>
        <w:tc>
          <w:tcPr>
            <w:tcW w:type="dxa" w:w="1080"/>
          </w:tcPr>
          <w:p>
            <w:r>
              <w:rPr>
                <w:rFonts w:ascii="Calibri" w:hAnsi="Calibri"/>
                <w:sz w:val="22"/>
              </w:rPr>
              <w:t>0%</w:t>
            </w:r>
          </w:p>
        </w:tc>
        <w:tc>
          <w:tcPr>
            <w:tcW w:type="dxa" w:w="1080"/>
          </w:tcPr>
          <w:p>
            <w:r>
              <w:rPr>
                <w:rFonts w:ascii="Calibri" w:hAnsi="Calibri"/>
                <w:sz w:val="22"/>
              </w:rPr>
              <w:t>-2.0% below guidance</w:t>
            </w:r>
          </w:p>
        </w:tc>
      </w:tr>
      <w:tr>
        <w:tc>
          <w:tcPr>
            <w:tcW w:type="dxa" w:w="1080"/>
          </w:tcPr>
          <w:p>
            <w:r>
              <w:rPr>
                <w:rFonts w:ascii="Calibri" w:hAnsi="Calibri"/>
                <w:sz w:val="22"/>
              </w:rPr>
              <w:t>Adj. EPS — FY 2026</w:t>
            </w:r>
          </w:p>
        </w:tc>
        <w:tc>
          <w:tcPr>
            <w:tcW w:type="dxa" w:w="1080"/>
          </w:tcPr>
          <w:p>
            <w:r>
              <w:rPr>
                <w:rFonts w:ascii="Calibri" w:hAnsi="Calibri"/>
                <w:sz w:val="22"/>
              </w:rPr>
              <w:t>$4.57</w:t>
            </w:r>
          </w:p>
        </w:tc>
        <w:tc>
          <w:tcPr>
            <w:tcW w:type="dxa" w:w="1080"/>
          </w:tcPr>
          <w:p>
            <w:r>
              <w:rPr>
                <w:rFonts w:ascii="Calibri" w:hAnsi="Calibri"/>
                <w:sz w:val="22"/>
              </w:rPr>
              <w:t>$4.58</w:t>
            </w:r>
          </w:p>
        </w:tc>
        <w:tc>
          <w:tcPr>
            <w:tcW w:type="dxa" w:w="1080"/>
          </w:tcPr>
          <w:p>
            <w:r>
              <w:rPr>
                <w:rFonts w:ascii="Calibri" w:hAnsi="Calibri"/>
                <w:sz w:val="22"/>
              </w:rPr>
              <w:t>+0.2%</w:t>
            </w:r>
          </w:p>
        </w:tc>
        <w:tc>
          <w:tcPr>
            <w:tcW w:type="dxa" w:w="1080"/>
          </w:tcPr>
          <w:p>
            <w:r>
              <w:rPr>
                <w:rFonts w:ascii="Calibri" w:hAnsi="Calibri"/>
                <w:sz w:val="22"/>
              </w:rPr>
              <w:t>~$4.57 (implied)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+0.2% above implied guidance</w:t>
            </w:r>
          </w:p>
        </w:tc>
      </w:tr>
      <w:tr>
        <w:tc>
          <w:tcPr>
            <w:tcW w:type="dxa" w:w="1080"/>
          </w:tcPr>
          <w:p>
            <w:r>
              <w:rPr>
                <w:rFonts w:ascii="Calibri" w:hAnsi="Calibri"/>
                <w:sz w:val="22"/>
              </w:rPr>
              <w:t>Adj. EPS — FY 2027</w:t>
            </w:r>
          </w:p>
        </w:tc>
        <w:tc>
          <w:tcPr>
            <w:tcW w:type="dxa" w:w="1080"/>
          </w:tcPr>
          <w:p>
            <w:r>
              <w:rPr>
                <w:rFonts w:ascii="Calibri" w:hAnsi="Calibri"/>
                <w:sz w:val="22"/>
              </w:rPr>
              <w:t>$4.93</w:t>
            </w:r>
          </w:p>
        </w:tc>
        <w:tc>
          <w:tcPr>
            <w:tcW w:type="dxa" w:w="1080"/>
          </w:tcPr>
          <w:p>
            <w:r>
              <w:rPr>
                <w:rFonts w:ascii="Calibri" w:hAnsi="Calibri"/>
                <w:sz w:val="22"/>
              </w:rPr>
              <w:t>$4.92</w:t>
            </w:r>
          </w:p>
        </w:tc>
        <w:tc>
          <w:tcPr>
            <w:tcW w:type="dxa" w:w="1080"/>
          </w:tcPr>
          <w:p>
            <w:r>
              <w:rPr>
                <w:rFonts w:ascii="Calibri" w:hAnsi="Calibri"/>
                <w:sz w:val="22"/>
              </w:rPr>
              <w:t>-0.2%</w:t>
            </w:r>
          </w:p>
        </w:tc>
        <w:tc>
          <w:tcPr>
            <w:tcW w:type="dxa" w:w="1080"/>
          </w:tcPr>
          <w:p>
            <w:r>
              <w:rPr>
                <w:rFonts w:ascii="Calibri" w:hAnsi="Calibri"/>
                <w:sz w:val="22"/>
              </w:rPr>
              <w:t>N/A (no explicit FY27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 ($B)</w:t>
            </w:r>
          </w:p>
        </w:tc>
        <w:tc>
          <w:tcPr>
            <w:tcW w:type="dxa" w:w="1080"/>
          </w:tcPr>
          <w:p>
            <w:r>
              <w:rPr>
                <w:rFonts w:ascii="Calibri" w:hAnsi="Calibri"/>
                <w:sz w:val="22"/>
              </w:rPr>
              <w:t>$7.15B</w:t>
            </w:r>
          </w:p>
        </w:tc>
        <w:tc>
          <w:tcPr>
            <w:tcW w:type="dxa" w:w="1080"/>
          </w:tcPr>
          <w:p>
            <w:r>
              <w:rPr>
                <w:rFonts w:ascii="Calibri" w:hAnsi="Calibri"/>
                <w:sz w:val="22"/>
              </w:rPr>
              <w:t>$7.28B</w:t>
            </w:r>
          </w:p>
        </w:tc>
        <w:tc>
          <w:tcPr>
            <w:tcW w:type="dxa" w:w="1080"/>
          </w:tcPr>
          <w:p>
            <w:r>
              <w:rPr>
                <w:rFonts w:ascii="Calibri" w:hAnsi="Calibri"/>
                <w:sz w:val="22"/>
              </w:rPr>
              <w:t>+1.8%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 ($B)</w:t>
            </w:r>
          </w:p>
        </w:tc>
        <w:tc>
          <w:tcPr>
            <w:tcW w:type="dxa" w:w="1080"/>
          </w:tcPr>
          <w:p>
            <w:r>
              <w:rPr>
                <w:rFonts w:ascii="Calibri" w:hAnsi="Calibri"/>
                <w:sz w:val="22"/>
              </w:rPr>
              <w:t>$30.5B</w:t>
            </w:r>
          </w:p>
        </w:tc>
        <w:tc>
          <w:tcPr>
            <w:tcW w:type="dxa" w:w="1080"/>
          </w:tcPr>
          <w:p>
            <w:r>
              <w:rPr>
                <w:rFonts w:ascii="Calibri" w:hAnsi="Calibri"/>
                <w:sz w:val="22"/>
              </w:rPr>
              <w:t>$30.7B</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estimated as of approximately May 7, 2026 (5 trading days after April 30 earnings). Current consensus as of July 29, 2026.</w:t>
      </w:r>
    </w:p>
    <w:p>
      <w:r>
        <w:rPr>
          <w:rFonts w:ascii="Calibri" w:hAnsi="Calibri"/>
          <w:color w:val="525866"/>
          <w:sz w:val="22"/>
        </w:rPr>
        <w:t>The modest downward drift in Q2 EPS estimates (-3.9%) since the Q1 print likely reflects seasonal conservatism and mild weather risk rather than any fundamental deterioration — the full-year 2026 and 2027 estimates are essentially unchanged, confirming the Street's confidence in the multi-year earnings framework. The gap between consensus ($0.98) and management's own Q2 estimate ($1.00) is a small but real cushion.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SO has essentially flat-lined since the Q1 2026 earnings date (April 30), returning approximately +0.1% vs. XLU's -2.8% and SPY's +3.1% through July 28. The relative outperformance vs. XLU reflects SO's superior growth profile, but the underperformance vs. SPY suggests the market is not yet pricing in the full large-load upside scenario. Multiple expansion has driven the 6-month return (+8.1%), with NTM EV/EBITDA expanding from ~12.3x to ~13.1x.</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SO vs. XLU vs. S&amp;P 500 — Indexed to 100 at April 30, 2026 (Q1 2026 Earnings Date). Source: Yahoo Finance / Stock Price Data.</w:t>
      </w:r>
    </w:p>
    <w:p>
      <w:r>
        <w:rPr>
          <w:rFonts w:ascii="Calibri" w:hAnsi="Calibri"/>
          <w:b/>
          <w:color w:val="525866"/>
          <w:sz w:val="22"/>
        </w:rPr>
        <w:t>Performance Summary (April 30 – July 28,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Series</w:t>
            </w:r>
          </w:p>
        </w:tc>
        <w:tc>
          <w:tcPr>
            <w:tcW w:type="dxa" w:w="2880"/>
            <w:shd w:val="clear" w:color="auto" w:fill="3B4259"/>
          </w:tcPr>
          <w:p>
            <w:r>
              <w:rPr>
                <w:rFonts w:ascii="Calibri" w:hAnsi="Calibri"/>
                <w:b/>
                <w:color w:val="FFFFFF"/>
                <w:sz w:val="22"/>
              </w:rPr>
              <w:t>Return Since Q1 Earnings (Apr 30)</w:t>
            </w:r>
          </w:p>
        </w:tc>
        <w:tc>
          <w:tcPr>
            <w:tcW w:type="dxa" w:w="2880"/>
            <w:shd w:val="clear" w:color="auto" w:fill="3B4259"/>
          </w:tcPr>
          <w:p>
            <w:r>
              <w:rPr>
                <w:rFonts w:ascii="Calibri" w:hAnsi="Calibri"/>
                <w:b/>
                <w:color w:val="FFFFFF"/>
                <w:sz w:val="22"/>
              </w:rPr>
              <w:t>Key Driver</w:t>
            </w:r>
          </w:p>
        </w:tc>
      </w:tr>
      <w:tr>
        <w:tc>
          <w:tcPr>
            <w:tcW w:type="dxa" w:w="2880"/>
          </w:tcPr>
          <w:p>
            <w:r>
              <w:rPr>
                <w:rFonts w:ascii="Calibri" w:hAnsi="Calibri"/>
                <w:sz w:val="22"/>
              </w:rPr>
              <w:t>SO</w:t>
            </w:r>
          </w:p>
        </w:tc>
        <w:tc>
          <w:tcPr>
            <w:tcW w:type="dxa" w:w="2880"/>
          </w:tcPr>
          <w:p>
            <w:r>
              <w:rPr>
                <w:rFonts w:ascii="Calibri" w:hAnsi="Calibri"/>
                <w:sz w:val="22"/>
              </w:rPr>
              <w:t>+0.1%</w:t>
            </w:r>
          </w:p>
        </w:tc>
        <w:tc>
          <w:tcPr>
            <w:tcW w:type="dxa" w:w="2880"/>
          </w:tcPr>
          <w:p>
            <w:r>
              <w:rPr>
                <w:rFonts w:ascii="Calibri" w:hAnsi="Calibri"/>
                <w:sz w:val="22"/>
              </w:rPr>
              <w:t>Multiple expansion (NTM EV/EBITDA +2.8% over 3M) offset by rate sensitivity; large-load thesis intact</w:t>
            </w:r>
          </w:p>
        </w:tc>
      </w:tr>
      <w:tr>
        <w:tc>
          <w:tcPr>
            <w:tcW w:type="dxa" w:w="2880"/>
          </w:tcPr>
          <w:p>
            <w:r>
              <w:rPr>
                <w:rFonts w:ascii="Calibri" w:hAnsi="Calibri"/>
                <w:sz w:val="22"/>
              </w:rPr>
              <w:t>XLU (Utilities ETF)</w:t>
            </w:r>
          </w:p>
        </w:tc>
        <w:tc>
          <w:tcPr>
            <w:tcW w:type="dxa" w:w="2880"/>
          </w:tcPr>
          <w:p>
            <w:r>
              <w:rPr>
                <w:rFonts w:ascii="Calibri" w:hAnsi="Calibri"/>
                <w:sz w:val="22"/>
              </w:rPr>
              <w:t>-2.8%</w:t>
            </w:r>
          </w:p>
        </w:tc>
        <w:tc>
          <w:tcPr>
            <w:tcW w:type="dxa" w:w="2880"/>
          </w:tcPr>
          <w:p>
            <w:r>
              <w:rPr>
                <w:rFonts w:ascii="Calibri" w:hAnsi="Calibri"/>
                <w:sz w:val="22"/>
              </w:rPr>
              <w:t>Rate sensitivity, sector rotation away from defensives as risk appetite improved</w:t>
            </w:r>
          </w:p>
        </w:tc>
      </w:tr>
      <w:tr>
        <w:tc>
          <w:tcPr>
            <w:tcW w:type="dxa" w:w="2880"/>
          </w:tcPr>
          <w:p>
            <w:r>
              <w:rPr>
                <w:rFonts w:ascii="Calibri" w:hAnsi="Calibri"/>
                <w:sz w:val="22"/>
              </w:rPr>
              <w:t>SPY (S&amp;P 500)</w:t>
            </w:r>
          </w:p>
        </w:tc>
        <w:tc>
          <w:tcPr>
            <w:tcW w:type="dxa" w:w="2880"/>
          </w:tcPr>
          <w:p>
            <w:r>
              <w:rPr>
                <w:rFonts w:ascii="Calibri" w:hAnsi="Calibri"/>
                <w:sz w:val="22"/>
              </w:rPr>
              <w:t>+3.1%</w:t>
            </w:r>
          </w:p>
        </w:tc>
        <w:tc>
          <w:tcPr>
            <w:tcW w:type="dxa" w:w="2880"/>
          </w:tcPr>
          <w:p>
            <w:r>
              <w:rPr>
                <w:rFonts w:ascii="Calibri" w:hAnsi="Calibri"/>
                <w:sz w:val="22"/>
              </w:rPr>
              <w:t>Broad risk-on rally; AI/tech leadership</w:t>
            </w:r>
          </w:p>
        </w:tc>
      </w:tr>
    </w:tbl>
    <w:p>
      <w:r>
        <w:rPr>
          <w:rFonts w:ascii="Calibri" w:hAnsi="Calibri"/>
          <w:i/>
          <w:color w:val="525866"/>
          <w:sz w:val="22"/>
        </w:rPr>
        <w:t>Source: Yahoo Finance / Stock Price Data. Returns computed close-to-close, April 30 to July 28, 2026.</w:t>
      </w:r>
    </w:p>
    <w:p>
      <w:r>
        <w:rPr>
          <w:rFonts w:ascii="Calibri" w:hAnsi="Calibri"/>
          <w:b/>
          <w:color w:val="525866"/>
          <w:sz w:val="22"/>
        </w:rPr>
        <w:t>Valuation Context:</w:t>
      </w:r>
      <w:r>
        <w:rPr>
          <w:rFonts w:ascii="Calibri" w:hAnsi="Calibri"/>
          <w:color w:val="525866"/>
          <w:sz w:val="22"/>
        </w:rPr>
        <w:t xml:space="preserve"> SO currently trades at ~20.3x NTM P/E and ~13.1x NTM EV/EBITDA. The 6-month return of +8.1% has been predominantly multiple-driven (NTM EV/EBITDA expanded ~6.8% over 6 months), suggesting the market has been re-rating SO's growth profile upward. The 12-month return of +1.9% reflects a more modest re-rating, with NTM EV/EBITDA actually contracting ~3.0% over that window as the stock digested the Vogtle completion and equity issuance overhang. The current multiple is not stretched relative to SO's growth profile, leaving room for further re-rating if the large-load pipeline continues to accelerate.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2026 earnings call is the continued acceleration of the large-load pipeline and the constructive regulatory backdrop in SO's service territories, reinforced by peer commentary from NEE and ETR. The DOE loan package ($26.5B) remains the single most significant financing development, having been announced in February 2026 and discussed extensively on the Q1 call.</w:t>
      </w:r>
    </w:p>
    <w:p>
      <w:pPr>
        <w:pStyle w:val="ListBullet"/>
        <w:ind w:left="360" w:hanging="360"/>
      </w:pPr>
      <w:r>
        <w:rPr>
          <w:rFonts w:ascii="Calibri" w:hAnsi="Calibri"/>
          <w:b/>
          <w:color w:val="525866"/>
          <w:sz w:val="22"/>
        </w:rPr>
        <w:t>April 30, 2026 — Q1 2026 Earnings Beat &amp; Q2 Guidance Set:</w:t>
      </w:r>
      <w:r>
        <w:rPr>
          <w:rFonts w:ascii="Calibri" w:hAnsi="Calibri"/>
          <w:color w:val="525866"/>
          <w:sz w:val="22"/>
        </w:rPr>
        <w:t xml:space="preserve"> SO reported Q1 adjusted EPS of $1.32, beating consensus by $0.08 and management's own estimate by $0.12. Data center usage up 42% YoY. Contracted large load reached &gt;11 GW; late-stage pipeline expanded to 12 GW (+2 GW QoQ). Q2 2026 EPS estimate set at $1.00. DOE loan package ($26.5B) highlighted as reducing remaining equity need to ~$1.8B through 2030. </w:t>
      </w:r>
    </w:p>
    <w:p>
      <w:pPr>
        <w:pStyle w:val="ListBullet"/>
        <w:ind w:left="360" w:hanging="360"/>
      </w:pPr>
      <w:r>
        <w:rPr>
          <w:rFonts w:ascii="Calibri" w:hAnsi="Calibri"/>
          <w:b/>
          <w:color w:val="525866"/>
          <w:sz w:val="22"/>
        </w:rPr>
        <w:t>May 15, 2026 — Shareholder Meeting / Charter Amendments:</w:t>
      </w:r>
      <w:r>
        <w:rPr>
          <w:rFonts w:ascii="Calibri" w:hAnsi="Calibri"/>
          <w:color w:val="525866"/>
          <w:sz w:val="22"/>
        </w:rPr>
        <w:t xml:space="preserve"> SO shareholders approved charter amendments and rebuffed activist proposals (8-K filed May 15, 2026). </w:t>
      </w:r>
    </w:p>
    <w:p>
      <w:pPr>
        <w:pStyle w:val="ListBullet"/>
        <w:ind w:left="360" w:hanging="360"/>
      </w:pPr>
      <w:r>
        <w:rPr>
          <w:rFonts w:ascii="Calibri" w:hAnsi="Calibri"/>
          <w:b/>
          <w:color w:val="525866"/>
          <w:sz w:val="22"/>
        </w:rPr>
        <w:t>June 25, 2026 — Q2 2026 Earnings Date Announced:</w:t>
      </w:r>
      <w:r>
        <w:rPr>
          <w:rFonts w:ascii="Calibri" w:hAnsi="Calibri"/>
          <w:color w:val="525866"/>
          <w:sz w:val="22"/>
        </w:rPr>
        <w:t xml:space="preserve"> SO confirmed Q2 2026 results to be released July 30, 2026 (press release). </w:t>
      </w:r>
    </w:p>
    <w:p>
      <w:pPr>
        <w:pStyle w:val="ListBullet"/>
        <w:ind w:left="360" w:hanging="360"/>
      </w:pPr>
      <w:r>
        <w:rPr>
          <w:rFonts w:ascii="Calibri" w:hAnsi="Calibri"/>
          <w:b/>
          <w:color w:val="525866"/>
          <w:sz w:val="22"/>
        </w:rPr>
        <w:t>July 21–23, 2026 — White House Ratepayer Protection Pledge:</w:t>
      </w:r>
      <w:r>
        <w:rPr>
          <w:rFonts w:ascii="Calibri" w:hAnsi="Calibri"/>
          <w:color w:val="525866"/>
          <w:sz w:val="22"/>
        </w:rPr>
        <w:t xml:space="preserve"> NEE, Duke Energy, Equinix, Digital Realty, and nearly 200 entities signed President Trump's pledge to ensure AI energy consumption does not push up electric bills. SO's constructive approach to large-load contracting (full cost recovery, collateral requirements, minimum bills) is already aligned with this framework. </w:t>
      </w:r>
    </w:p>
    <w:p>
      <w:pPr>
        <w:pStyle w:val="ListBullet"/>
        <w:ind w:left="360" w:hanging="360"/>
      </w:pPr>
      <w:r>
        <w:rPr>
          <w:rFonts w:ascii="Calibri" w:hAnsi="Calibri"/>
          <w:b/>
          <w:color w:val="525866"/>
          <w:sz w:val="22"/>
        </w:rPr>
        <w:t>July 22, 2026 — PJM Grid Disturbance (Data Center Risk Read-Through):</w:t>
      </w:r>
      <w:r>
        <w:rPr>
          <w:rFonts w:ascii="Calibri" w:hAnsi="Calibri"/>
          <w:color w:val="525866"/>
          <w:sz w:val="22"/>
        </w:rPr>
        <w:t xml:space="preserve"> A 3+ GW power disconnect in northern Virginia (PJM grid) caused by data center load shedding took 10+ minutes to stabilize, highlighting grid reliability risks from large, sudden load changes. SO's vertically integrated model and bilateral contract structures (with minimum bills and collateral) provide better protection against this risk than merchant-exposed peers. </w:t>
      </w:r>
    </w:p>
    <w:p>
      <w:pPr>
        <w:pStyle w:val="ListBullet"/>
        <w:ind w:left="360" w:hanging="360"/>
      </w:pPr>
      <w:r>
        <w:rPr>
          <w:rFonts w:ascii="Calibri" w:hAnsi="Calibri"/>
          <w:b/>
          <w:color w:val="525866"/>
          <w:sz w:val="22"/>
        </w:rPr>
        <w:t>July 20, 2026 — Duke Energy NC Rate Settlement (Regulatory Read-Through):</w:t>
      </w:r>
      <w:r>
        <w:rPr>
          <w:rFonts w:ascii="Calibri" w:hAnsi="Calibri"/>
          <w:color w:val="525866"/>
          <w:sz w:val="22"/>
        </w:rPr>
        <w:t xml:space="preserve"> Duke Energy Carolinas reached a comprehensive rate settlement with NC regulators, agreeing to reduce its proposed rate increase from ~18% to ~9.5% (9.8% ROE, 53% equity ratio, ~$3.8B MYRP capital). Constructive regulatory outcome in the Southeast is a positive read-through for SO's own regulatory relationships in Georgia and Alabama, where base rates are held stable until at least 2029. </w:t>
      </w:r>
    </w:p>
    <w:p>
      <w:pPr>
        <w:pStyle w:val="ListBullet"/>
        <w:ind w:left="360" w:hanging="360"/>
      </w:pPr>
      <w:r>
        <w:rPr>
          <w:rFonts w:ascii="Calibri" w:hAnsi="Calibri"/>
          <w:b/>
          <w:color w:val="525866"/>
          <w:sz w:val="22"/>
        </w:rPr>
        <w:t>July 24, 2026 — NEE Q2 2026 Beat &amp; Large-Load Update (Peer Read-Through):</w:t>
      </w:r>
      <w:r>
        <w:rPr>
          <w:rFonts w:ascii="Calibri" w:hAnsi="Calibri"/>
          <w:color w:val="525866"/>
          <w:sz w:val="22"/>
        </w:rPr>
        <w:t xml:space="preserve"> NextEra Energy beat Q2 estimates ($1.15 vs. $1.11 consensus). FPL updated large-load expectations from 6 GW to 8 GW by 2032; 21 GW of large-load interest with 12 GW in advanced discussions. Energy Resources added 3.6 GW to backlog (second-largest quarter). Positive read-through for SO's own large-load pipeline and data center demand thesis. </w:t>
      </w:r>
    </w:p>
    <w:p>
      <w:pPr>
        <w:pStyle w:val="ListBullet"/>
        <w:ind w:left="360" w:hanging="360"/>
      </w:pPr>
      <w:r>
        <w:rPr>
          <w:rFonts w:ascii="Calibri" w:hAnsi="Calibri"/>
          <w:b/>
          <w:color w:val="525866"/>
          <w:sz w:val="22"/>
        </w:rPr>
        <w:t>July 29, 2026 — ETR Q2 2026 Earnings &amp; Guidance Affirmation (Peer Read-Through):</w:t>
      </w:r>
      <w:r>
        <w:rPr>
          <w:rFonts w:ascii="Calibri" w:hAnsi="Calibri"/>
          <w:color w:val="525866"/>
          <w:sz w:val="22"/>
        </w:rPr>
        <w:t xml:space="preserve"> Entergy affirmed 2026 adjusted EPS guidance and outlooks through 2030. Data center pipeline of 7–12 GW remains active; front-end funnel "very, very active." Louisiana Governor signed executive order ensuring data centers pay fair share. Positive read-through for SO's large-load demand environment. </w:t>
      </w:r>
    </w:p>
    <w:p>
      <w:pPr>
        <w:pStyle w:val="ListBullet"/>
        <w:ind w:left="360" w:hanging="360"/>
      </w:pPr>
      <w:r>
        <w:rPr>
          <w:rFonts w:ascii="Calibri" w:hAnsi="Calibri"/>
          <w:b/>
          <w:color w:val="525866"/>
          <w:sz w:val="22"/>
        </w:rPr>
        <w:t>July 29, 2026 — NEE / Brookfield $100B Data Center Campus (Sector Catalyst):</w:t>
      </w:r>
      <w:r>
        <w:rPr>
          <w:rFonts w:ascii="Calibri" w:hAnsi="Calibri"/>
          <w:color w:val="525866"/>
          <w:sz w:val="22"/>
        </w:rPr>
        <w:t xml:space="preserve"> NextEra Energy and Brookfield Asset Management announced plans to develop a $100B data center campus in Paducah, Kentucky (former uranium site), with 1.2+ GW of compute capacity and up to 1.8 GW of electricity supply. Operations targeted for 2028. Reinforces the scale and durability of hyperscaler power demand across the Southeast and adjacent regions — a positive read-through for SO's own large-load pipeline. </w:t>
      </w:r>
    </w:p>
    <w:p>
      <w:pPr>
        <w:pStyle w:val="ListBullet"/>
        <w:ind w:left="360" w:hanging="360"/>
      </w:pPr>
      <w:r>
        <w:rPr>
          <w:rFonts w:ascii="Calibri" w:hAnsi="Calibri"/>
          <w:b/>
          <w:color w:val="525866"/>
          <w:sz w:val="22"/>
        </w:rPr>
        <w:t>July 28, 2026 — CMS Energy Q2 Results &amp; 2027 Guidance (Sector Context):</w:t>
      </w:r>
      <w:r>
        <w:rPr>
          <w:rFonts w:ascii="Calibri" w:hAnsi="Calibri"/>
          <w:color w:val="525866"/>
          <w:sz w:val="22"/>
        </w:rPr>
        <w:t xml:space="preserve"> CMS Energy's 2027 EPS guidance midpoint ($4.13) came in below consensus ($4.17), and the company announced it would exit non-utility renewables development. Contrast with SO's more integrated and constructive growth posture. </w:t>
      </w:r>
    </w:p>
    <w:p>
      <w:pPr>
        <w:pStyle w:val="ListBullet"/>
        <w:ind w:left="360" w:hanging="360"/>
      </w:pPr>
      <w:r>
        <w:rPr>
          <w:rFonts w:ascii="Calibri" w:hAnsi="Calibri"/>
          <w:b/>
          <w:color w:val="525866"/>
          <w:sz w:val="22"/>
        </w:rPr>
        <w:t>Ongoing — Georgia PSC Elections (Regulatory Risk):</w:t>
      </w:r>
      <w:r>
        <w:rPr>
          <w:rFonts w:ascii="Calibri" w:hAnsi="Calibri"/>
          <w:color w:val="525866"/>
          <w:sz w:val="22"/>
        </w:rPr>
        <w:t xml:space="preserve"> Two Georgia PSC seats were up for election (primary May 19, runoff June 16). SO management expressed confidence in maintaining a constructive regulatory environment regardless of outcome, citing 100+ years of bipartisan relationships. No adverse regulatory developments identified post-election.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only insider activity since the Q1 2026 earnings call consists of small, routine 10b5-1 planned sales by the Comptroller (Matthew Kim) — 100 shares per month at approximately $95–98/share. These are pre-scheduled, obligation-driven transactions with no discretionary signal. No open-market buys or unusual discretionary sales were identified. The absence of any insider buying at current levels is neutral, not a negative signal given the 10b5-1 context.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Kim, Matthew M.</w:t>
            </w:r>
          </w:p>
        </w:tc>
        <w:tc>
          <w:tcPr>
            <w:tcW w:type="dxa" w:w="1234"/>
          </w:tcPr>
          <w:p>
            <w:r>
              <w:rPr>
                <w:rFonts w:ascii="Calibri" w:hAnsi="Calibri"/>
                <w:sz w:val="22"/>
              </w:rPr>
              <w:t>Comptroller</w:t>
            </w:r>
          </w:p>
        </w:tc>
        <w:tc>
          <w:tcPr>
            <w:tcW w:type="dxa" w:w="1234"/>
          </w:tcPr>
          <w:p>
            <w:r>
              <w:rPr>
                <w:rFonts w:ascii="Calibri" w:hAnsi="Calibri"/>
                <w:sz w:val="22"/>
              </w:rPr>
              <w:t>10b5-1 Planned Sale</w:t>
            </w:r>
          </w:p>
        </w:tc>
        <w:tc>
          <w:tcPr>
            <w:tcW w:type="dxa" w:w="1234"/>
          </w:tcPr>
          <w:p>
            <w:r>
              <w:rPr>
                <w:rFonts w:ascii="Calibri" w:hAnsi="Calibri"/>
                <w:sz w:val="22"/>
              </w:rPr>
              <w:t>100 shares</w:t>
            </w:r>
          </w:p>
        </w:tc>
        <w:tc>
          <w:tcPr>
            <w:tcW w:type="dxa" w:w="1234"/>
          </w:tcPr>
          <w:p>
            <w:r>
              <w:rPr>
                <w:rFonts w:ascii="Calibri" w:hAnsi="Calibri"/>
                <w:sz w:val="22"/>
              </w:rPr>
              <w:t>~$9,798</w:t>
            </w:r>
          </w:p>
        </w:tc>
        <w:tc>
          <w:tcPr>
            <w:tcW w:type="dxa" w:w="1234"/>
          </w:tcPr>
          <w:p>
            <w:r>
              <w:rPr>
                <w:rFonts w:ascii="Calibri" w:hAnsi="Calibri"/>
                <w:sz w:val="22"/>
              </w:rPr>
              <w:t>July 1, 2026</w:t>
            </w:r>
          </w:p>
        </w:tc>
        <w:tc>
          <w:tcPr>
            <w:tcW w:type="dxa" w:w="1234"/>
          </w:tcPr>
          <w:p>
            <w:r>
              <w:rPr>
                <w:rFonts w:ascii="Calibri" w:hAnsi="Calibri"/>
                <w:sz w:val="22"/>
              </w:rPr>
              <w:t>Pre-scheduled 10b5-1 plan; routine monthly sale; no discretionary signal</w:t>
            </w:r>
          </w:p>
        </w:tc>
      </w:tr>
      <w:tr>
        <w:tc>
          <w:tcPr>
            <w:tcW w:type="dxa" w:w="1234"/>
          </w:tcPr>
          <w:p>
            <w:r>
              <w:rPr>
                <w:rFonts w:ascii="Calibri" w:hAnsi="Calibri"/>
                <w:sz w:val="22"/>
              </w:rPr>
              <w:t>Kim, Matthew M.</w:t>
            </w:r>
          </w:p>
        </w:tc>
        <w:tc>
          <w:tcPr>
            <w:tcW w:type="dxa" w:w="1234"/>
          </w:tcPr>
          <w:p>
            <w:r>
              <w:rPr>
                <w:rFonts w:ascii="Calibri" w:hAnsi="Calibri"/>
                <w:sz w:val="22"/>
              </w:rPr>
              <w:t>Comptroller</w:t>
            </w:r>
          </w:p>
        </w:tc>
        <w:tc>
          <w:tcPr>
            <w:tcW w:type="dxa" w:w="1234"/>
          </w:tcPr>
          <w:p>
            <w:r>
              <w:rPr>
                <w:rFonts w:ascii="Calibri" w:hAnsi="Calibri"/>
                <w:sz w:val="22"/>
              </w:rPr>
              <w:t>10b5-1 Planned Sale</w:t>
            </w:r>
          </w:p>
        </w:tc>
        <w:tc>
          <w:tcPr>
            <w:tcW w:type="dxa" w:w="1234"/>
          </w:tcPr>
          <w:p>
            <w:r>
              <w:rPr>
                <w:rFonts w:ascii="Calibri" w:hAnsi="Calibri"/>
                <w:sz w:val="22"/>
              </w:rPr>
              <w:t>100 shares</w:t>
            </w:r>
          </w:p>
        </w:tc>
        <w:tc>
          <w:tcPr>
            <w:tcW w:type="dxa" w:w="1234"/>
          </w:tcPr>
          <w:p>
            <w:r>
              <w:rPr>
                <w:rFonts w:ascii="Calibri" w:hAnsi="Calibri"/>
                <w:sz w:val="22"/>
              </w:rPr>
              <w:t>~$9,501</w:t>
            </w:r>
          </w:p>
        </w:tc>
        <w:tc>
          <w:tcPr>
            <w:tcW w:type="dxa" w:w="1234"/>
          </w:tcPr>
          <w:p>
            <w:r>
              <w:rPr>
                <w:rFonts w:ascii="Calibri" w:hAnsi="Calibri"/>
                <w:sz w:val="22"/>
              </w:rPr>
              <w:t>June 1, 2026</w:t>
            </w:r>
          </w:p>
        </w:tc>
        <w:tc>
          <w:tcPr>
            <w:tcW w:type="dxa" w:w="1234"/>
          </w:tcPr>
          <w:p>
            <w:r>
              <w:rPr>
                <w:rFonts w:ascii="Calibri" w:hAnsi="Calibri"/>
                <w:sz w:val="22"/>
              </w:rPr>
              <w:t>Pre-scheduled 10b5-1 plan; routine monthly sale; no discretionary signal</w:t>
            </w:r>
          </w:p>
        </w:tc>
      </w:tr>
      <w:tr>
        <w:tc>
          <w:tcPr>
            <w:tcW w:type="dxa" w:w="1234"/>
          </w:tcPr>
          <w:p>
            <w:r>
              <w:rPr>
                <w:rFonts w:ascii="Calibri" w:hAnsi="Calibri"/>
                <w:sz w:val="22"/>
              </w:rPr>
              <w:t>Kim, Matthew M.</w:t>
            </w:r>
          </w:p>
        </w:tc>
        <w:tc>
          <w:tcPr>
            <w:tcW w:type="dxa" w:w="1234"/>
          </w:tcPr>
          <w:p>
            <w:r>
              <w:rPr>
                <w:rFonts w:ascii="Calibri" w:hAnsi="Calibri"/>
                <w:sz w:val="22"/>
              </w:rPr>
              <w:t>Comptroller</w:t>
            </w:r>
          </w:p>
        </w:tc>
        <w:tc>
          <w:tcPr>
            <w:tcW w:type="dxa" w:w="1234"/>
          </w:tcPr>
          <w:p>
            <w:r>
              <w:rPr>
                <w:rFonts w:ascii="Calibri" w:hAnsi="Calibri"/>
                <w:sz w:val="22"/>
              </w:rPr>
              <w:t>10b5-1 Planned Sale</w:t>
            </w:r>
          </w:p>
        </w:tc>
        <w:tc>
          <w:tcPr>
            <w:tcW w:type="dxa" w:w="1234"/>
          </w:tcPr>
          <w:p>
            <w:r>
              <w:rPr>
                <w:rFonts w:ascii="Calibri" w:hAnsi="Calibri"/>
                <w:sz w:val="22"/>
              </w:rPr>
              <w:t>100 shares</w:t>
            </w:r>
          </w:p>
        </w:tc>
        <w:tc>
          <w:tcPr>
            <w:tcW w:type="dxa" w:w="1234"/>
          </w:tcPr>
          <w:p>
            <w:r>
              <w:rPr>
                <w:rFonts w:ascii="Calibri" w:hAnsi="Calibri"/>
                <w:sz w:val="22"/>
              </w:rPr>
              <w:t>~$9,180</w:t>
            </w:r>
          </w:p>
        </w:tc>
        <w:tc>
          <w:tcPr>
            <w:tcW w:type="dxa" w:w="1234"/>
          </w:tcPr>
          <w:p>
            <w:r>
              <w:rPr>
                <w:rFonts w:ascii="Calibri" w:hAnsi="Calibri"/>
                <w:sz w:val="22"/>
              </w:rPr>
              <w:t>May 1, 2026</w:t>
            </w:r>
          </w:p>
        </w:tc>
        <w:tc>
          <w:tcPr>
            <w:tcW w:type="dxa" w:w="1234"/>
          </w:tcPr>
          <w:p>
            <w:r>
              <w:rPr>
                <w:rFonts w:ascii="Calibri" w:hAnsi="Calibri"/>
                <w:sz w:val="22"/>
              </w:rPr>
              <w:t>Pre-scheduled 10b5-1 plan; routine monthly sale; no discretionary signal</w:t>
            </w:r>
          </w:p>
        </w:tc>
      </w:tr>
    </w:tbl>
    <w:p>
      <w:r>
        <w:rPr>
          <w:rFonts w:ascii="Calibri" w:hAnsi="Calibri"/>
          <w:i/>
          <w:color w:val="525866"/>
          <w:sz w:val="22"/>
        </w:rPr>
        <w:t>Source: SEC Form 4 Filings Database (Insider Transaction Data). Open-market transaction codes P/S only; all three transactions are code S (sale) under a 10b5-1 plan (overall_10b5 = True). No open-market buys identified in the period.</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Peer commentary from ETR (Q2 2026 earnings, July 29), NEE (Q2 2026 earnings, July 24), and ETR Investor Day (June 9) is uniformly bullish on the forward demand outlook for large-load / data center power in the Southeast and Gulf South — directly validating SO's large-load thesis heading into Q2 2026 results. All commentary below is strictly forward-looking (Q3 2026 and beyond) or pertains to current-period demand trends, not retrospective Q2 results.</w:t>
      </w:r>
    </w:p>
    <w:p>
      <w:r>
        <w:rPr>
          <w:rFonts w:ascii="Calibri" w:hAnsi="Calibri"/>
          <w:b/>
          <w:i/>
          <w:color w:val="525866"/>
          <w:sz w:val="22"/>
        </w:rPr>
        <w:t xml:space="preserve">Note on Scope: </w:t>
      </w:r>
      <w:r>
        <w:rPr>
          <w:rFonts w:ascii="Calibri" w:hAnsi="Calibri"/>
          <w:i/>
          <w:color w:val="525866"/>
          <w:sz w:val="22"/>
        </w:rPr>
        <w:t>Per the user's instruction, this section includes only commentary from the last 60 days (on or after May 29, 2026) that explicitly concerns Q3 2026 or later / current forward periods. Peer commentary solely about reported Q2 or earlier results is excluded.</w:t>
      </w:r>
    </w:p>
    <w:p>
      <w:pPr>
        <w:pStyle w:val="Heading3"/>
      </w:pPr>
      <w:r>
        <w:rPr>
          <w:rFonts w:ascii="Calibri" w:hAnsi="Calibri"/>
          <w:b/>
          <w:color w:val="3B4259"/>
          <w:sz w:val="24"/>
        </w:rPr>
        <w:t>8A. Entergy (ETR) — Q2 2026 Earnings Call (Disclosed: July 29, 2026)</w:t>
      </w:r>
    </w:p>
    <w:p>
      <w:r>
        <w:rPr>
          <w:rFonts w:ascii="Calibri" w:hAnsi="Calibri"/>
          <w:b/>
          <w:color w:val="525866"/>
          <w:sz w:val="22"/>
        </w:rPr>
        <w:t xml:space="preserve">Forward Period Covered: </w:t>
      </w:r>
      <w:r>
        <w:rPr>
          <w:rFonts w:ascii="Calibri" w:hAnsi="Calibri"/>
          <w:color w:val="525866"/>
          <w:sz w:val="22"/>
        </w:rPr>
        <w:t>Q3 2026 and full-year 2026 through 2030 outlook.</w:t>
      </w:r>
    </w:p>
    <w:p>
      <w:pPr>
        <w:pStyle w:val="ListBullet"/>
        <w:ind w:left="360" w:hanging="360"/>
      </w:pPr>
      <w:r>
        <w:rPr>
          <w:rFonts w:ascii="Calibri" w:hAnsi="Calibri"/>
          <w:b/>
          <w:color w:val="525866"/>
          <w:sz w:val="22"/>
        </w:rPr>
        <w:t>Guidance Affirmation (Forward):</w:t>
      </w:r>
      <w:r>
        <w:rPr>
          <w:rFonts w:ascii="Calibri" w:hAnsi="Calibri"/>
          <w:color w:val="525866"/>
          <w:sz w:val="22"/>
        </w:rPr>
        <w:t xml:space="preserve"> ETR affirmed its 2026 adjusted EPS guidance and outlooks through 2030. Management stated: "We are affirming our 2026 adjusted EPS guidance and our outlooks through 2030. We're firmly on track, and we remain confident that we will deliver on our guidance." </w:t>
      </w:r>
    </w:p>
    <w:p>
      <w:pPr>
        <w:pStyle w:val="ListBullet"/>
        <w:ind w:left="360" w:hanging="360"/>
      </w:pPr>
      <w:r>
        <w:rPr>
          <w:rFonts w:ascii="Calibri" w:hAnsi="Calibri"/>
          <w:b/>
          <w:color w:val="525866"/>
          <w:sz w:val="22"/>
        </w:rPr>
        <w:t>Q3 2026 O&amp;M Outlook:</w:t>
      </w:r>
      <w:r>
        <w:rPr>
          <w:rFonts w:ascii="Calibri" w:hAnsi="Calibri"/>
          <w:color w:val="525866"/>
          <w:sz w:val="22"/>
        </w:rPr>
        <w:t xml:space="preserve"> ETR guided that Q3 2026 other O&amp;M is expected to be approximately $0.05–0.10 higher than Q3 2025, driven by increases in expenses recovered through riders and the LDC sale impact. Assuming normal weather in Q3, the majority of the year-over-year earnings increase is expected to come through in Q4 2026 due to flex spending. </w:t>
      </w:r>
    </w:p>
    <w:p>
      <w:pPr>
        <w:pStyle w:val="ListBullet"/>
        <w:ind w:left="360" w:hanging="360"/>
      </w:pPr>
      <w:r>
        <w:rPr>
          <w:rFonts w:ascii="Calibri" w:hAnsi="Calibri"/>
          <w:b/>
          <w:color w:val="525866"/>
          <w:sz w:val="22"/>
        </w:rPr>
        <w:t>Large-Load Pipeline (Forward):</w:t>
      </w:r>
      <w:r>
        <w:rPr>
          <w:rFonts w:ascii="Calibri" w:hAnsi="Calibri"/>
          <w:color w:val="525866"/>
          <w:sz w:val="22"/>
        </w:rPr>
        <w:t xml:space="preserve"> ETR continues to have "7 to 12 GW of hyperscale data center potential in our pipeline, as well as 3 to 5 GW of interest from traditional industrial segments." The front-end funnel is described as "very, very active" with new interest potentially adding significantly to the probability-weighted pipeline. ETR has ~7.5 GW of plant island equipment secured, on the low end of its 10–17 GW opportunity. </w:t>
      </w:r>
    </w:p>
    <w:p>
      <w:pPr>
        <w:pStyle w:val="ListBullet"/>
        <w:ind w:left="360" w:hanging="360"/>
      </w:pPr>
      <w:r>
        <w:rPr>
          <w:rFonts w:ascii="Calibri" w:hAnsi="Calibri"/>
          <w:b/>
          <w:color w:val="525866"/>
          <w:sz w:val="22"/>
        </w:rPr>
        <w:t>Regulatory Support for Data Centers (Forward):</w:t>
      </w:r>
      <w:r>
        <w:rPr>
          <w:rFonts w:ascii="Calibri" w:hAnsi="Calibri"/>
          <w:color w:val="525866"/>
          <w:sz w:val="22"/>
        </w:rPr>
        <w:t xml:space="preserve"> Louisiana Governor Jeff Landry signed an executive order in late June 2026 ensuring new data centers are committed to providing customer benefits — consistent with ETR's "Fair Share Plus" pledge. The White House Ratepayer Protection Pledge, the Governor's order, and ETR's pledge are "all aligned to ensure that we grow and support this transformational investment opportunity." ETR expects $7 billion in customer bill benefits from agreements signed to date. </w:t>
      </w:r>
    </w:p>
    <w:p>
      <w:pPr>
        <w:pStyle w:val="ListBullet"/>
        <w:ind w:left="360" w:hanging="360"/>
      </w:pPr>
      <w:r>
        <w:rPr>
          <w:rFonts w:ascii="Calibri" w:hAnsi="Calibri"/>
          <w:b/>
          <w:color w:val="525866"/>
          <w:sz w:val="22"/>
        </w:rPr>
        <w:t>Resilience Investment (Forward):</w:t>
      </w:r>
      <w:r>
        <w:rPr>
          <w:rFonts w:ascii="Calibri" w:hAnsi="Calibri"/>
          <w:color w:val="525866"/>
          <w:sz w:val="22"/>
        </w:rPr>
        <w:t xml:space="preserve"> ETR plans to file for additional accelerated resilience investment ("Phase One A") in Louisiana in Q3 2026. New rates for Entergy Louisiana and Entergy New Orleans FRPs are expected to be in effect in September 2026. </w:t>
      </w:r>
    </w:p>
    <w:p>
      <w:pPr>
        <w:pStyle w:val="ListBullet"/>
        <w:ind w:left="360" w:hanging="360"/>
      </w:pPr>
      <w:r>
        <w:rPr>
          <w:rFonts w:ascii="Calibri" w:hAnsi="Calibri"/>
          <w:b/>
          <w:color w:val="525866"/>
          <w:sz w:val="22"/>
        </w:rPr>
        <w:t>New Nuclear (Forward):</w:t>
      </w:r>
      <w:r>
        <w:rPr>
          <w:rFonts w:ascii="Calibri" w:hAnsi="Calibri"/>
          <w:color w:val="525866"/>
          <w:sz w:val="22"/>
        </w:rPr>
        <w:t xml:space="preserve"> ETR is in conversations with the state and DOE about new nuclear in Louisiana, which has advanced to the next phase. Management emphasized a "customer-led" approach and balance sheet protection: "We will not put our operating companies or our customers at risk." No firm timeline for deployment. </w:t>
      </w:r>
    </w:p>
    <w:p>
      <w:pPr>
        <w:pStyle w:val="ListBullet"/>
        <w:ind w:left="360" w:hanging="360"/>
      </w:pPr>
      <w:r>
        <w:rPr>
          <w:rFonts w:ascii="Calibri" w:hAnsi="Calibri"/>
          <w:b/>
          <w:color w:val="525866"/>
          <w:sz w:val="22"/>
        </w:rPr>
        <w:t>Transmission Build (Forward):</w:t>
      </w:r>
      <w:r>
        <w:rPr>
          <w:rFonts w:ascii="Calibri" w:hAnsi="Calibri"/>
          <w:color w:val="525866"/>
          <w:sz w:val="22"/>
        </w:rPr>
        <w:t xml:space="preserve"> ETR is building "over a thousand miles of transmission right now to support new customers as well as resilience investment opportunities." </w:t>
      </w:r>
    </w:p>
    <w:p>
      <w:pPr>
        <w:pStyle w:val="ListBullet"/>
        <w:ind w:left="360" w:hanging="360"/>
      </w:pPr>
      <w:r>
        <w:rPr>
          <w:rFonts w:ascii="Calibri" w:hAnsi="Calibri"/>
          <w:b/>
          <w:color w:val="525866"/>
          <w:sz w:val="22"/>
        </w:rPr>
        <w:t>SO Read-Through:</w:t>
      </w:r>
      <w:r>
        <w:rPr>
          <w:rFonts w:ascii="Calibri" w:hAnsi="Calibri"/>
          <w:color w:val="525866"/>
          <w:sz w:val="22"/>
        </w:rPr>
        <w:t xml:space="preserve"> ETR's affirmation of its 2026 guidance and bullish forward pipeline commentary directly validates SO's own large-load demand thesis. The "very, very active" front-end funnel language mirrors SO's &gt;75 GW prospective pipeline. The regulatory alignment (Fair Share Plus, Governor's executive order, White House pledge) is consistent with SO's own contract structures (full cost recovery, collateral, minimum bills). ETR's Q3 O&amp;M guidance (higher YoY due to rider-recovered expenses) is a minor negative read-through for SO's own Q3 cost trajectory, but the mechanism is similar and well-understood by the market.</w:t>
      </w:r>
    </w:p>
    <w:p>
      <w:pPr>
        <w:pStyle w:val="Heading3"/>
      </w:pPr>
      <w:r>
        <w:rPr>
          <w:rFonts w:ascii="Calibri" w:hAnsi="Calibri"/>
          <w:b/>
          <w:color w:val="3B4259"/>
          <w:sz w:val="24"/>
        </w:rPr>
        <w:t>8B. Entergy (ETR) — Investor Day (Disclosed: June 9, 2026)</w:t>
      </w:r>
    </w:p>
    <w:p>
      <w:r>
        <w:rPr>
          <w:rFonts w:ascii="Calibri" w:hAnsi="Calibri"/>
          <w:b/>
          <w:color w:val="525866"/>
          <w:sz w:val="22"/>
        </w:rPr>
        <w:t xml:space="preserve">Forward Period Covered: </w:t>
      </w:r>
      <w:r>
        <w:rPr>
          <w:rFonts w:ascii="Calibri" w:hAnsi="Calibri"/>
          <w:color w:val="525866"/>
          <w:sz w:val="22"/>
        </w:rPr>
        <w:t>2026–2030 capital plan, EPS growth, and large-load outlook through 2035+.</w:t>
      </w:r>
    </w:p>
    <w:p>
      <w:pPr>
        <w:pStyle w:val="ListBullet"/>
        <w:ind w:left="360" w:hanging="360"/>
      </w:pPr>
      <w:r>
        <w:rPr>
          <w:rFonts w:ascii="Calibri" w:hAnsi="Calibri"/>
          <w:b/>
          <w:color w:val="525866"/>
          <w:sz w:val="22"/>
        </w:rPr>
        <w:t>EPS Growth Guidance (Forward):</w:t>
      </w:r>
      <w:r>
        <w:rPr>
          <w:rFonts w:ascii="Calibri" w:hAnsi="Calibri"/>
          <w:color w:val="525866"/>
          <w:sz w:val="22"/>
        </w:rPr>
        <w:t xml:space="preserve"> ETR projects "greater than 8% growth throughout the forecast period through 2030" for adjusted EPS, described as "the highest adjusted EPS growth rate in the industry." Year-over-year growth for 2030 is "similar to the year-over-year for 2029 or 12%." Beyond 2030, ETR sees "greater than 8% growth rates in the base case through at least 2035." </w:t>
      </w:r>
    </w:p>
    <w:p>
      <w:pPr>
        <w:pStyle w:val="ListBullet"/>
        <w:ind w:left="360" w:hanging="360"/>
      </w:pPr>
      <w:r>
        <w:rPr>
          <w:rFonts w:ascii="Calibri" w:hAnsi="Calibri"/>
          <w:b/>
          <w:color w:val="525866"/>
          <w:sz w:val="22"/>
        </w:rPr>
        <w:t>Capital Plan (Forward):</w:t>
      </w:r>
      <w:r>
        <w:rPr>
          <w:rFonts w:ascii="Calibri" w:hAnsi="Calibri"/>
          <w:color w:val="525866"/>
          <w:sz w:val="22"/>
        </w:rPr>
        <w:t xml:space="preserve"> ETR's 5-year capital plan has "doubled to $67 billion" ($13B/year average), targeting a rate base of "$97 billion by 2030" — a 16% rate base CAGR from 2025. Incremental capital deployment opportunities exist beyond the base case, with the "bulk of that growth in the first half of the next decade." </w:t>
      </w:r>
    </w:p>
    <w:p>
      <w:pPr>
        <w:pStyle w:val="ListBullet"/>
        <w:ind w:left="360" w:hanging="360"/>
      </w:pPr>
      <w:r>
        <w:rPr>
          <w:rFonts w:ascii="Calibri" w:hAnsi="Calibri"/>
          <w:b/>
          <w:color w:val="525866"/>
          <w:sz w:val="22"/>
        </w:rPr>
        <w:t>Large-Load / Sales Growth (Forward):</w:t>
      </w:r>
      <w:r>
        <w:rPr>
          <w:rFonts w:ascii="Calibri" w:hAnsi="Calibri"/>
          <w:color w:val="525866"/>
          <w:sz w:val="22"/>
        </w:rPr>
        <w:t xml:space="preserve"> ETR's retail sales growth has "doubled to 9%" from two years ago, underpinned by "16% industrial growth across the period." The 24-month ESA outlook includes "7 to 12 GW for data centers and 3 to 5 GW for other industries." ETR believes it "could serve another 15 to 20 GW of large load growth over the next several years" — not in the base case. Long-term, ETR expects to "triple our sales growth from 2025 by the time we get to 2050." </w:t>
      </w:r>
    </w:p>
    <w:p>
      <w:pPr>
        <w:pStyle w:val="ListBullet"/>
        <w:ind w:left="360" w:hanging="360"/>
      </w:pPr>
      <w:r>
        <w:rPr>
          <w:rFonts w:ascii="Calibri" w:hAnsi="Calibri"/>
          <w:b/>
          <w:color w:val="525866"/>
          <w:sz w:val="22"/>
        </w:rPr>
        <w:t>Customer Affordability (Forward):</w:t>
      </w:r>
      <w:r>
        <w:rPr>
          <w:rFonts w:ascii="Calibri" w:hAnsi="Calibri"/>
          <w:color w:val="525866"/>
          <w:sz w:val="22"/>
        </w:rPr>
        <w:t xml:space="preserve"> ETR's "Fair Share Plus" pledge ensures data centers cover incremental and fixed costs, generating "$7 billion of savings for our existing customers." Bill trajectory is expected to increase "roughly equal, slightly above inflation, assuming flat fuel." </w:t>
      </w:r>
    </w:p>
    <w:p>
      <w:pPr>
        <w:pStyle w:val="ListBullet"/>
        <w:ind w:left="360" w:hanging="360"/>
      </w:pPr>
      <w:r>
        <w:rPr>
          <w:rFonts w:ascii="Calibri" w:hAnsi="Calibri"/>
          <w:b/>
          <w:color w:val="525866"/>
          <w:sz w:val="22"/>
        </w:rPr>
        <w:t>Financing (Forward):</w:t>
      </w:r>
      <w:r>
        <w:rPr>
          <w:rFonts w:ascii="Calibri" w:hAnsi="Calibri"/>
          <w:color w:val="525866"/>
          <w:sz w:val="22"/>
        </w:rPr>
        <w:t xml:space="preserve"> ETR targets "10% to 15% equity on a percentage of total capital plan" and has already sourced "roughly 60% of our equity needs" for the period. FFO to debt is targeted at or above 15% throughout the outlook period (Moody's metric). S&amp;P noted ETR's credit profile "appears positioned to benefit from data center expansion as a result of disciplined contracting and constructive regulatory tools." </w:t>
      </w:r>
    </w:p>
    <w:p>
      <w:pPr>
        <w:pStyle w:val="ListBullet"/>
        <w:ind w:left="360" w:hanging="360"/>
      </w:pPr>
      <w:r>
        <w:rPr>
          <w:rFonts w:ascii="Calibri" w:hAnsi="Calibri"/>
          <w:b/>
          <w:color w:val="525866"/>
          <w:sz w:val="22"/>
        </w:rPr>
        <w:t>SO Read-Through:</w:t>
      </w:r>
      <w:r>
        <w:rPr>
          <w:rFonts w:ascii="Calibri" w:hAnsi="Calibri"/>
          <w:color w:val="525866"/>
          <w:sz w:val="22"/>
        </w:rPr>
        <w:t xml:space="preserve"> ETR's Investor Day is the most comprehensive forward-looking peer data point available. The doubling of ETR's capital plan and sales growth, driven by the same hyperscaler and industrial demand trends affecting SO's service territories, validates SO's own accelerating capital plan and large-load pipeline. ETR's "Fair Share Plus" contracting model (full cost recovery, minimum bills, credit support) is structurally similar to SO's bilateral contract approach — both companies are protecting existing customers while capturing growth. ETR's 10–15% equity funding target (vs. SO's ~40% of incremental capital) reflects ETR's stronger FFO generation, but both companies are managing equity needs proactively. The constructive regulatory mechanisms (riders, FRPs) described by ETR are analogous to SO's own regulatory frameworks in Georgia and Alabama.</w:t>
      </w:r>
    </w:p>
    <w:p>
      <w:pPr>
        <w:pStyle w:val="Heading3"/>
      </w:pPr>
      <w:r>
        <w:rPr>
          <w:rFonts w:ascii="Calibri" w:hAnsi="Calibri"/>
          <w:b/>
          <w:color w:val="3B4259"/>
          <w:sz w:val="24"/>
        </w:rPr>
        <w:t>8C. NextEra Energy (NEE) — Q2 2026 Earnings Call (Disclosed: July 24, 2026)</w:t>
      </w:r>
    </w:p>
    <w:p>
      <w:r>
        <w:rPr>
          <w:rFonts w:ascii="Calibri" w:hAnsi="Calibri"/>
          <w:b/>
          <w:color w:val="525866"/>
          <w:sz w:val="22"/>
        </w:rPr>
        <w:t xml:space="preserve">Forward Period Covered: </w:t>
      </w:r>
      <w:r>
        <w:rPr>
          <w:rFonts w:ascii="Calibri" w:hAnsi="Calibri"/>
          <w:color w:val="525866"/>
          <w:sz w:val="22"/>
        </w:rPr>
        <w:t>FY 2026 guidance, 2026–2032 growth targets, and large-load pipeline through 2035.</w:t>
      </w:r>
    </w:p>
    <w:p>
      <w:pPr>
        <w:pStyle w:val="ListBullet"/>
        <w:ind w:left="360" w:hanging="360"/>
      </w:pPr>
      <w:r>
        <w:rPr>
          <w:rFonts w:ascii="Calibri" w:hAnsi="Calibri"/>
          <w:b/>
          <w:color w:val="525866"/>
          <w:sz w:val="22"/>
        </w:rPr>
        <w:t>FY 2026 EPS Guidance (Forward):</w:t>
      </w:r>
      <w:r>
        <w:rPr>
          <w:rFonts w:ascii="Calibri" w:hAnsi="Calibri"/>
          <w:color w:val="525866"/>
          <w:sz w:val="22"/>
        </w:rPr>
        <w:t xml:space="preserve"> NEE maintained its 2026 adjusted EPS range of $3.92–4.02, targeting the high end. NEE expects to grow adjusted EPS at an 8%+ CAGR through 2032, and targets the same growth rate from 2032 through 2035, off a 2025 base of $3.71. </w:t>
      </w:r>
    </w:p>
    <w:p>
      <w:pPr>
        <w:pStyle w:val="ListBullet"/>
        <w:ind w:left="360" w:hanging="360"/>
      </w:pPr>
      <w:r>
        <w:rPr>
          <w:rFonts w:ascii="Calibri" w:hAnsi="Calibri"/>
          <w:b/>
          <w:color w:val="525866"/>
          <w:sz w:val="22"/>
        </w:rPr>
        <w:t>FPL Large-Load Update (Forward):</w:t>
      </w:r>
      <w:r>
        <w:rPr>
          <w:rFonts w:ascii="Calibri" w:hAnsi="Calibri"/>
          <w:color w:val="525866"/>
          <w:sz w:val="22"/>
        </w:rPr>
        <w:t xml:space="preserve"> FPL updated its large-load expectations from 6 GW to 8 GW by 2032 as part of its new four-year rate agreement. FPL has "roughly 21 GW of large load interest, with advanced discussions on 12 GW, a portion of which could begin being served as soon as 2028." FPL continues to expect to announce at least one large-load transaction under its tariff by year-end 2026. Each GW of large load under FPL's approved tariff is expected to be equivalent to roughly $2 billion of CapEx. </w:t>
      </w:r>
    </w:p>
    <w:p>
      <w:pPr>
        <w:pStyle w:val="ListBullet"/>
        <w:ind w:left="360" w:hanging="360"/>
      </w:pPr>
      <w:r>
        <w:rPr>
          <w:rFonts w:ascii="Calibri" w:hAnsi="Calibri"/>
          <w:b/>
          <w:color w:val="525866"/>
          <w:sz w:val="22"/>
        </w:rPr>
        <w:t>Energy Resources Backlog &amp; Hub Strategy (Forward):</w:t>
      </w:r>
      <w:r>
        <w:rPr>
          <w:rFonts w:ascii="Calibri" w:hAnsi="Calibri"/>
          <w:color w:val="525866"/>
          <w:sz w:val="22"/>
        </w:rPr>
        <w:t xml:space="preserve"> Energy Resources now has 30 potential data center hubs under discussion, with expectations to rise to 40 by year-end. The goal is to secure 15 GW of new generation to serve large load by 2035, with an upside case of 30 GW or more. The 2026–2029 backlog represents approximately two-thirds of development expectations midpoint through 2029, requiring ~18.6 GW more over the next two years. </w:t>
      </w:r>
    </w:p>
    <w:p>
      <w:pPr>
        <w:pStyle w:val="ListBullet"/>
        <w:ind w:left="360" w:hanging="360"/>
      </w:pPr>
      <w:r>
        <w:rPr>
          <w:rFonts w:ascii="Calibri" w:hAnsi="Calibri"/>
          <w:b/>
          <w:color w:val="525866"/>
          <w:sz w:val="22"/>
        </w:rPr>
        <w:t>Recontracting (Forward):</w:t>
      </w:r>
      <w:r>
        <w:rPr>
          <w:rFonts w:ascii="Calibri" w:hAnsi="Calibri"/>
          <w:color w:val="525866"/>
          <w:sz w:val="22"/>
        </w:rPr>
        <w:t xml:space="preserve"> Since the last earnings call, over 500 MW of existing projects were recontracted at an average premium of ~$20/MWh above recent realized pricing, with ~15-year average contract lengths. Energy Resources has up to 6 GW of renewables and 1.5 GW of nuclear recontracting opportunities through 2032. </w:t>
      </w:r>
    </w:p>
    <w:p>
      <w:pPr>
        <w:pStyle w:val="ListBullet"/>
        <w:ind w:left="360" w:hanging="360"/>
      </w:pPr>
      <w:r>
        <w:rPr>
          <w:rFonts w:ascii="Calibri" w:hAnsi="Calibri"/>
          <w:b/>
          <w:color w:val="525866"/>
          <w:sz w:val="22"/>
        </w:rPr>
        <w:t>Nuclear (Forward):</w:t>
      </w:r>
      <w:r>
        <w:rPr>
          <w:rFonts w:ascii="Calibri" w:hAnsi="Calibri"/>
          <w:color w:val="525866"/>
          <w:sz w:val="22"/>
        </w:rPr>
        <w:t xml:space="preserve"> Duane Arnold nuclear recommissioning is on track for no later than Q1 2029. NEE is evaluating 6 GW of SMR co-location opportunities at existing nuclear sites. Any new nuclear build requires "appropriate commercial terms and risk-sharing mechanisms to limit cost overrun risk." </w:t>
      </w:r>
    </w:p>
    <w:p>
      <w:pPr>
        <w:pStyle w:val="ListBullet"/>
        <w:ind w:left="360" w:hanging="360"/>
      </w:pPr>
      <w:r>
        <w:rPr>
          <w:rFonts w:ascii="Calibri" w:hAnsi="Calibri"/>
          <w:b/>
          <w:color w:val="525866"/>
          <w:sz w:val="22"/>
        </w:rPr>
        <w:t>Gas-Fired Generation (Forward):</w:t>
      </w:r>
      <w:r>
        <w:rPr>
          <w:rFonts w:ascii="Calibri" w:hAnsi="Calibri"/>
          <w:color w:val="525866"/>
          <w:sz w:val="22"/>
        </w:rPr>
        <w:t xml:space="preserve"> NEE is advancing development of up to 9.5 GW of gas-fired generation projects in Texas and Pennsylvania. Discussions on definitive agreements with the U.S. and Japanese governments are progressing. </w:t>
      </w:r>
    </w:p>
    <w:p>
      <w:pPr>
        <w:pStyle w:val="ListBullet"/>
        <w:ind w:left="360" w:hanging="360"/>
      </w:pPr>
      <w:r>
        <w:rPr>
          <w:rFonts w:ascii="Calibri" w:hAnsi="Calibri"/>
          <w:b/>
          <w:color w:val="525866"/>
          <w:sz w:val="22"/>
        </w:rPr>
        <w:t>Dominion Merger (Forward):</w:t>
      </w:r>
      <w:r>
        <w:rPr>
          <w:rFonts w:ascii="Calibri" w:hAnsi="Calibri"/>
          <w:color w:val="525866"/>
          <w:sz w:val="22"/>
        </w:rPr>
        <w:t xml:space="preserve"> The NEE/Dominion combination is expected to close in H2 2027. The combined company is expected to support ~11% annual growth in regulatory capital employed through 2032 and 9%+ adjusted EPS growth through 2032. NEE is offering $2.25B in shareholder-funded bill credits to Dominion customers. </w:t>
      </w:r>
    </w:p>
    <w:p>
      <w:pPr>
        <w:pStyle w:val="ListBullet"/>
        <w:ind w:left="360" w:hanging="360"/>
      </w:pPr>
      <w:r>
        <w:rPr>
          <w:rFonts w:ascii="Calibri" w:hAnsi="Calibri"/>
          <w:b/>
          <w:color w:val="525866"/>
          <w:sz w:val="22"/>
        </w:rPr>
        <w:t>Customer Affordability (Forward):</w:t>
      </w:r>
      <w:r>
        <w:rPr>
          <w:rFonts w:ascii="Calibri" w:hAnsi="Calibri"/>
          <w:color w:val="525866"/>
          <w:sz w:val="22"/>
        </w:rPr>
        <w:t xml:space="preserve"> FPL's typical residential bill is ~30% below the national average and is projected to increase only 2% annually on average through the end of the decade. FPL's Nonfuel O&amp;M is more than 70% better than the industry average on a $/MWh basis. </w:t>
      </w:r>
    </w:p>
    <w:p>
      <w:pPr>
        <w:pStyle w:val="ListBullet"/>
        <w:ind w:left="360" w:hanging="360"/>
      </w:pPr>
      <w:r>
        <w:rPr>
          <w:rFonts w:ascii="Calibri" w:hAnsi="Calibri"/>
          <w:b/>
          <w:color w:val="525866"/>
          <w:sz w:val="22"/>
        </w:rPr>
        <w:t>SO Read-Through:</w:t>
      </w:r>
      <w:r>
        <w:rPr>
          <w:rFonts w:ascii="Calibri" w:hAnsi="Calibri"/>
          <w:color w:val="525866"/>
          <w:sz w:val="22"/>
        </w:rPr>
        <w:t xml:space="preserve"> NEE's upgrade of FPL's large-load target from 6 GW to 8 GW by 2032, combined with 21 GW of interest and 12 GW in advanced discussions, is the most direct peer validation of SO's own large-load pipeline. The $2B/GW CapEx rule of thumb for large-load at FPL provides a useful benchmark for SO's own incremental capital opportunities. NEE's 30 (growing to 40) data center hubs and 15–30 GW generation target through 2035 underscore the scale and durability of hyperscaler power demand — directly supporting SO's &gt;75 GW prospective pipeline narrative. The NEE/Dominion merger, if approved, would create a much larger competitor in the Southeast, but SO's vertically integrated model and established regulatory relationships in Georgia and Alabama provide a durable competitive moat.</w:t>
      </w:r>
    </w:p>
    <w:p>
      <w:pPr>
        <w:pStyle w:val="Heading3"/>
      </w:pPr>
      <w:r>
        <w:rPr>
          <w:rFonts w:ascii="Calibri" w:hAnsi="Calibri"/>
          <w:b/>
          <w:color w:val="3B4259"/>
          <w:sz w:val="24"/>
        </w:rPr>
        <w:t>8D. Duke Energy (DUK) — NC Rate Settlement (Disclosed: July 17, 2026)</w:t>
      </w:r>
    </w:p>
    <w:p>
      <w:r>
        <w:rPr>
          <w:rFonts w:ascii="Calibri" w:hAnsi="Calibri"/>
          <w:b/>
          <w:color w:val="525866"/>
          <w:sz w:val="22"/>
        </w:rPr>
        <w:t xml:space="preserve">Forward Period Covered: </w:t>
      </w:r>
      <w:r>
        <w:rPr>
          <w:rFonts w:ascii="Calibri" w:hAnsi="Calibri"/>
          <w:color w:val="525866"/>
          <w:sz w:val="22"/>
        </w:rPr>
        <w:t>Rate case effective dates and multi-year rate plan through 2028+.</w:t>
      </w:r>
    </w:p>
    <w:p>
      <w:pPr>
        <w:pStyle w:val="ListBullet"/>
        <w:ind w:left="360" w:hanging="360"/>
      </w:pPr>
      <w:r>
        <w:rPr>
          <w:rFonts w:ascii="Calibri" w:hAnsi="Calibri"/>
          <w:b/>
          <w:color w:val="525866"/>
          <w:sz w:val="22"/>
        </w:rPr>
        <w:t>Comprehensive Rate Settlement (Forward):</w:t>
      </w:r>
      <w:r>
        <w:rPr>
          <w:rFonts w:ascii="Calibri" w:hAnsi="Calibri"/>
          <w:color w:val="525866"/>
          <w:sz w:val="22"/>
        </w:rPr>
        <w:t xml:space="preserve"> Duke Energy Carolinas (DEC) filed a Comprehensive Revenue Requirement Settlement with NC regulators on July 17, 2026. Key terms: 9.8% ROE, 53% equity ratio, ~$25.7B retail rate base, ~$3.8B of capital in the multi-year rate plan (MYRP) with an annual MYRP refund mechanism. DEC agreed to evaluate delaying its next base rate case filing until no earlier than November 1, 2028, contingent on NCUC granting deferral of costs for certain new generating assets. One-time pre-tax charges of ~$40M to be recognized in 2026 (treated as special items, excluded from adjusted earnings). </w:t>
      </w:r>
    </w:p>
    <w:p>
      <w:pPr>
        <w:pStyle w:val="ListBullet"/>
        <w:ind w:left="360" w:hanging="360"/>
      </w:pPr>
      <w:r>
        <w:rPr>
          <w:rFonts w:ascii="Calibri" w:hAnsi="Calibri"/>
          <w:b/>
          <w:color w:val="525866"/>
          <w:sz w:val="22"/>
        </w:rPr>
        <w:t>DEP Settlement Pursuit (Forward):</w:t>
      </w:r>
      <w:r>
        <w:rPr>
          <w:rFonts w:ascii="Calibri" w:hAnsi="Calibri"/>
          <w:color w:val="525866"/>
          <w:sz w:val="22"/>
        </w:rPr>
        <w:t xml:space="preserve"> Intervening parties agreed to pursue good-faith settlement discussions in the ongoing Duke Energy Progress (DEP) rate case (Docket E-2, Sub 1380) to reach a substantially similar settlement framework. </w:t>
      </w:r>
    </w:p>
    <w:p>
      <w:pPr>
        <w:pStyle w:val="ListBullet"/>
        <w:ind w:left="360" w:hanging="360"/>
      </w:pPr>
      <w:r>
        <w:rPr>
          <w:rFonts w:ascii="Calibri" w:hAnsi="Calibri"/>
          <w:b/>
          <w:color w:val="525866"/>
          <w:sz w:val="22"/>
        </w:rPr>
        <w:t>SO Read-Through:</w:t>
      </w:r>
      <w:r>
        <w:rPr>
          <w:rFonts w:ascii="Calibri" w:hAnsi="Calibri"/>
          <w:color w:val="525866"/>
          <w:sz w:val="22"/>
        </w:rPr>
        <w:t xml:space="preserve"> The DEC settlement provides a constructive regulatory benchmark for the Southeast utility sector. The 9.8% ROE and 53% equity ratio are consistent with SO's own authorized returns in Georgia and Alabama. The MYRP structure (capital recovery over multiple years with a refund mechanism) is analogous to SO's own regulatory frameworks. The agreement to delay the next rate case until 2028 (contingent on asset deferral) mirrors SO's own commitment to hold base rates stable in Alabama and Georgia until at least 2029. The constructive outcome in North Carolina reinforces the view that Southeast regulators are supportive of large capital investment programs, which is a positive read-through for SO's Georgia Power RFP and Alabama Power generation investments.</w:t>
      </w:r>
    </w:p>
    <w:p>
      <w:pPr>
        <w:pStyle w:val="Heading3"/>
      </w:pPr>
      <w:r>
        <w:rPr>
          <w:rFonts w:ascii="Calibri" w:hAnsi="Calibri"/>
          <w:b/>
          <w:color w:val="3B4259"/>
          <w:sz w:val="24"/>
        </w:rPr>
        <w:t>8E. 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Disclosure Date</w:t>
            </w:r>
          </w:p>
        </w:tc>
        <w:tc>
          <w:tcPr>
            <w:tcW w:type="dxa" w:w="1728"/>
            <w:shd w:val="clear" w:color="auto" w:fill="3B4259"/>
          </w:tcPr>
          <w:p>
            <w:r>
              <w:rPr>
                <w:rFonts w:ascii="Calibri" w:hAnsi="Calibri"/>
                <w:b/>
                <w:color w:val="FFFFFF"/>
                <w:sz w:val="22"/>
              </w:rPr>
              <w:t>Forward Period</w:t>
            </w:r>
          </w:p>
        </w:tc>
        <w:tc>
          <w:tcPr>
            <w:tcW w:type="dxa" w:w="1728"/>
            <w:shd w:val="clear" w:color="auto" w:fill="3B4259"/>
          </w:tcPr>
          <w:p>
            <w:r>
              <w:rPr>
                <w:rFonts w:ascii="Calibri" w:hAnsi="Calibri"/>
                <w:b/>
                <w:color w:val="FFFFFF"/>
                <w:sz w:val="22"/>
              </w:rPr>
              <w:t>Key Forward-Looking Signal</w:t>
            </w:r>
          </w:p>
        </w:tc>
        <w:tc>
          <w:tcPr>
            <w:tcW w:type="dxa" w:w="1728"/>
            <w:shd w:val="clear" w:color="auto" w:fill="3B4259"/>
          </w:tcPr>
          <w:p>
            <w:r>
              <w:rPr>
                <w:rFonts w:ascii="Calibri" w:hAnsi="Calibri"/>
                <w:b/>
                <w:color w:val="FFFFFF"/>
                <w:sz w:val="22"/>
              </w:rPr>
              <w:t>SO Read-Through Direction</w:t>
            </w:r>
          </w:p>
        </w:tc>
      </w:tr>
      <w:tr>
        <w:tc>
          <w:tcPr>
            <w:tcW w:type="dxa" w:w="1728"/>
          </w:tcPr>
          <w:p>
            <w:r>
              <w:rPr>
                <w:rFonts w:ascii="Calibri" w:hAnsi="Calibri"/>
                <w:sz w:val="22"/>
              </w:rPr>
              <w:t>ETR (Q2 2026 Earnings)</w:t>
            </w:r>
          </w:p>
        </w:tc>
        <w:tc>
          <w:tcPr>
            <w:tcW w:type="dxa" w:w="1728"/>
          </w:tcPr>
          <w:p>
            <w:r>
              <w:rPr>
                <w:rFonts w:ascii="Calibri" w:hAnsi="Calibri"/>
                <w:sz w:val="22"/>
              </w:rPr>
              <w:t>July 29, 2026</w:t>
            </w:r>
          </w:p>
        </w:tc>
        <w:tc>
          <w:tcPr>
            <w:tcW w:type="dxa" w:w="1728"/>
          </w:tcPr>
          <w:p>
            <w:r>
              <w:rPr>
                <w:rFonts w:ascii="Calibri" w:hAnsi="Calibri"/>
                <w:sz w:val="22"/>
              </w:rPr>
              <w:t>Q3 2026 / FY 2026–2030</w:t>
            </w:r>
          </w:p>
        </w:tc>
        <w:tc>
          <w:tcPr>
            <w:tcW w:type="dxa" w:w="1728"/>
          </w:tcPr>
          <w:p>
            <w:r>
              <w:rPr>
                <w:rFonts w:ascii="Calibri" w:hAnsi="Calibri"/>
                <w:sz w:val="22"/>
              </w:rPr>
              <w:t>Affirmed 2026 guidance; 7–12 GW data center pipeline "very, very active"; Q3 O&amp;M +$0.05–0.10 YoY; Louisiana Governor executive order on data center fair share</w:t>
            </w:r>
          </w:p>
        </w:tc>
        <w:tc>
          <w:tcPr>
            <w:tcW w:type="dxa" w:w="1728"/>
          </w:tcPr>
          <w:p>
            <w:r>
              <w:rPr>
                <w:rFonts w:ascii="Calibri" w:hAnsi="Calibri"/>
                <w:b/>
                <w:color w:val="30A46C"/>
                <w:sz w:val="22"/>
              </w:rPr>
              <w:t>Positive</w:t>
            </w:r>
          </w:p>
        </w:tc>
      </w:tr>
      <w:tr>
        <w:tc>
          <w:tcPr>
            <w:tcW w:type="dxa" w:w="1728"/>
          </w:tcPr>
          <w:p>
            <w:r>
              <w:rPr>
                <w:rFonts w:ascii="Calibri" w:hAnsi="Calibri"/>
                <w:sz w:val="22"/>
              </w:rPr>
              <w:t>ETR (Investor Day)</w:t>
            </w:r>
          </w:p>
        </w:tc>
        <w:tc>
          <w:tcPr>
            <w:tcW w:type="dxa" w:w="1728"/>
          </w:tcPr>
          <w:p>
            <w:r>
              <w:rPr>
                <w:rFonts w:ascii="Calibri" w:hAnsi="Calibri"/>
                <w:sz w:val="22"/>
              </w:rPr>
              <w:t>June 9, 2026</w:t>
            </w:r>
          </w:p>
        </w:tc>
        <w:tc>
          <w:tcPr>
            <w:tcW w:type="dxa" w:w="1728"/>
          </w:tcPr>
          <w:p>
            <w:r>
              <w:rPr>
                <w:rFonts w:ascii="Calibri" w:hAnsi="Calibri"/>
                <w:sz w:val="22"/>
              </w:rPr>
              <w:t>2026–2035+</w:t>
            </w:r>
          </w:p>
        </w:tc>
        <w:tc>
          <w:tcPr>
            <w:tcW w:type="dxa" w:w="1728"/>
          </w:tcPr>
          <w:p>
            <w:r>
              <w:rPr>
                <w:rFonts w:ascii="Calibri" w:hAnsi="Calibri"/>
                <w:sz w:val="22"/>
              </w:rPr>
              <w:t>$67B 5-year capex plan; &gt;8% EPS CAGR through 2030; 9% retail sales growth; 15–20 GW incremental large-load potential beyond base case</w:t>
            </w:r>
          </w:p>
        </w:tc>
        <w:tc>
          <w:tcPr>
            <w:tcW w:type="dxa" w:w="1728"/>
          </w:tcPr>
          <w:p>
            <w:r>
              <w:rPr>
                <w:rFonts w:ascii="Calibri" w:hAnsi="Calibri"/>
                <w:b/>
                <w:color w:val="30A46C"/>
                <w:sz w:val="22"/>
              </w:rPr>
              <w:t>Positive</w:t>
            </w:r>
          </w:p>
        </w:tc>
      </w:tr>
      <w:tr>
        <w:tc>
          <w:tcPr>
            <w:tcW w:type="dxa" w:w="1728"/>
          </w:tcPr>
          <w:p>
            <w:r>
              <w:rPr>
                <w:rFonts w:ascii="Calibri" w:hAnsi="Calibri"/>
                <w:sz w:val="22"/>
              </w:rPr>
              <w:t>NEE (Q2 2026 Earnings)</w:t>
            </w:r>
          </w:p>
        </w:tc>
        <w:tc>
          <w:tcPr>
            <w:tcW w:type="dxa" w:w="1728"/>
          </w:tcPr>
          <w:p>
            <w:r>
              <w:rPr>
                <w:rFonts w:ascii="Calibri" w:hAnsi="Calibri"/>
                <w:sz w:val="22"/>
              </w:rPr>
              <w:t>July 24, 2026</w:t>
            </w:r>
          </w:p>
        </w:tc>
        <w:tc>
          <w:tcPr>
            <w:tcW w:type="dxa" w:w="1728"/>
          </w:tcPr>
          <w:p>
            <w:r>
              <w:rPr>
                <w:rFonts w:ascii="Calibri" w:hAnsi="Calibri"/>
                <w:sz w:val="22"/>
              </w:rPr>
              <w:t>FY 2026 / 2026–2035</w:t>
            </w:r>
          </w:p>
        </w:tc>
        <w:tc>
          <w:tcPr>
            <w:tcW w:type="dxa" w:w="1728"/>
          </w:tcPr>
          <w:p>
            <w:r>
              <w:rPr>
                <w:rFonts w:ascii="Calibri" w:hAnsi="Calibri"/>
                <w:sz w:val="22"/>
              </w:rPr>
              <w:t>FPL large-load target raised to 8 GW by 2032; 21 GW interest / 12 GW advanced; 30 data center hubs (growing to 40); 15–30 GW generation target by 2035; $2B/GW CapEx rule of thumb</w:t>
            </w:r>
          </w:p>
        </w:tc>
        <w:tc>
          <w:tcPr>
            <w:tcW w:type="dxa" w:w="1728"/>
          </w:tcPr>
          <w:p>
            <w:r>
              <w:rPr>
                <w:rFonts w:ascii="Calibri" w:hAnsi="Calibri"/>
                <w:b/>
                <w:color w:val="30A46C"/>
                <w:sz w:val="22"/>
              </w:rPr>
              <w:t>Positive</w:t>
            </w:r>
          </w:p>
        </w:tc>
      </w:tr>
      <w:tr>
        <w:tc>
          <w:tcPr>
            <w:tcW w:type="dxa" w:w="1728"/>
          </w:tcPr>
          <w:p>
            <w:r>
              <w:rPr>
                <w:rFonts w:ascii="Calibri" w:hAnsi="Calibri"/>
                <w:sz w:val="22"/>
              </w:rPr>
              <w:t>DUK (NC Rate Settlement)</w:t>
            </w:r>
          </w:p>
        </w:tc>
        <w:tc>
          <w:tcPr>
            <w:tcW w:type="dxa" w:w="1728"/>
          </w:tcPr>
          <w:p>
            <w:r>
              <w:rPr>
                <w:rFonts w:ascii="Calibri" w:hAnsi="Calibri"/>
                <w:sz w:val="22"/>
              </w:rPr>
              <w:t>July 17, 2026</w:t>
            </w:r>
          </w:p>
        </w:tc>
        <w:tc>
          <w:tcPr>
            <w:tcW w:type="dxa" w:w="1728"/>
          </w:tcPr>
          <w:p>
            <w:r>
              <w:rPr>
                <w:rFonts w:ascii="Calibri" w:hAnsi="Calibri"/>
                <w:sz w:val="22"/>
              </w:rPr>
              <w:t>2026–2028+</w:t>
            </w:r>
          </w:p>
        </w:tc>
        <w:tc>
          <w:tcPr>
            <w:tcW w:type="dxa" w:w="1728"/>
          </w:tcPr>
          <w:p>
            <w:r>
              <w:rPr>
                <w:rFonts w:ascii="Calibri" w:hAnsi="Calibri"/>
                <w:sz w:val="22"/>
              </w:rPr>
              <w:t>9.8% ROE, 53% equity ratio, $3.8B MYRP capital; next rate case delayed to 2028+; constructive Southeast regulatory environment</w:t>
            </w:r>
          </w:p>
        </w:tc>
        <w:tc>
          <w:tcPr>
            <w:tcW w:type="dxa" w:w="1728"/>
          </w:tcPr>
          <w:p>
            <w:r>
              <w:rPr>
                <w:rFonts w:ascii="Calibri" w:hAnsi="Calibri"/>
                <w:b/>
                <w:color w:val="30A46C"/>
                <w:sz w:val="22"/>
              </w:rPr>
              <w:t>Positive</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