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sp-global-q2-2026-earnings-preview"/>
    <w:p>
      <w:pPr>
        <w:pStyle w:val="Heading1"/>
      </w:pPr>
      <w:r>
        <w:t xml:space="preserve">S&amp;P Global Q2 2026 Earnings Preview</w:t>
      </w:r>
    </w:p>
    <w:p>
      <w:pPr>
        <w:pStyle w:val="BlockText"/>
      </w:pPr>
      <w:r>
        <w:rPr>
          <w:b/>
          <w:bCs/>
        </w:rPr>
        <w:t xml:space="preserve">Timing correction:</w:t>
      </w:r>
      <w:r>
        <w:t xml:space="preserve"> </w:t>
      </w:r>
      <w:r>
        <w:t xml:space="preserve">S&amp;P Global’s official schedule says Q2 results are due</w:t>
      </w:r>
      <w:r>
        <w:t xml:space="preserve"> </w:t>
      </w:r>
      <w:r>
        <w:rPr>
          <w:b/>
          <w:bCs/>
        </w:rPr>
        <w:t xml:space="preserve">today, Tuesday, July 28, 2026</w:t>
      </w:r>
      <w:r>
        <w:t xml:space="preserve">, at approximately</w:t>
      </w:r>
      <w:r>
        <w:t xml:space="preserve"> </w:t>
      </w:r>
      <w:r>
        <w:rPr>
          <w:b/>
          <w:bCs/>
        </w:rPr>
        <w:t xml:space="preserve">7:15 a.m. ET</w:t>
      </w:r>
      <w:r>
        <w:t xml:space="preserve">, followed by the earnings call at</w:t>
      </w:r>
      <w:r>
        <w:t xml:space="preserve"> </w:t>
      </w:r>
      <w:r>
        <w:rPr>
          <w:b/>
          <w:bCs/>
        </w:rPr>
        <w:t xml:space="preserve">8:30 a.m. ET—not tomorrow</w:t>
      </w:r>
      <w:r>
        <w:t xml:space="preserve">. (</w:t>
      </w:r>
      <w:hyperlink r:id="rId9">
        <w:r>
          <w:rPr>
            <w:rStyle w:val="Hyperlink"/>
          </w:rPr>
          <w:t xml:space="preserve">investor.spglobal.com</w:t>
        </w:r>
      </w:hyperlink>
      <w:r>
        <w:t xml:space="preserve">)</w:t>
      </w:r>
    </w:p>
    <w:bookmarkStart w:id="10" w:name="investment-view-going-into-the-print"/>
    <w:p>
      <w:pPr>
        <w:pStyle w:val="Heading2"/>
      </w:pPr>
      <w:r>
        <w:t xml:space="preserve">Investment view going into the print</w:t>
      </w:r>
    </w:p>
    <w:p>
      <w:pPr>
        <w:pStyle w:val="FirstParagraph"/>
      </w:pPr>
      <w:r>
        <w:t xml:space="preserve">The quarter itself should be solid, with Ratings and Indices likely providing the strongest growth. But the headline numbers may be unusually difficult to interpret because S&amp;P Global completed the Mobility Global spin-off on July 1.</w:t>
      </w:r>
    </w:p>
    <w:p>
      <w:pPr>
        <w:pStyle w:val="BodyText"/>
      </w:pPr>
      <w:r>
        <w:t xml:space="preserve">The most consequential parts of the report are therefore likely to be:</w:t>
      </w:r>
    </w:p>
    <w:p>
      <w:pPr>
        <w:pStyle w:val="Compact"/>
        <w:numPr>
          <w:ilvl w:val="0"/>
          <w:numId w:val="1001"/>
        </w:numPr>
      </w:pPr>
      <w:r>
        <w:rPr>
          <w:b/>
          <w:bCs/>
        </w:rPr>
        <w:t xml:space="preserve">The first full-year outlook for post-spin S&amp;P Global</w:t>
      </w:r>
    </w:p>
    <w:p>
      <w:pPr>
        <w:pStyle w:val="Compact"/>
        <w:numPr>
          <w:ilvl w:val="0"/>
          <w:numId w:val="1001"/>
        </w:numPr>
      </w:pPr>
      <w:r>
        <w:rPr>
          <w:b/>
          <w:bCs/>
        </w:rPr>
        <w:t xml:space="preserve">Ratings revenue and issuance commentary</w:t>
      </w:r>
    </w:p>
    <w:p>
      <w:pPr>
        <w:pStyle w:val="Compact"/>
        <w:numPr>
          <w:ilvl w:val="0"/>
          <w:numId w:val="1001"/>
        </w:numPr>
      </w:pPr>
      <w:r>
        <w:rPr>
          <w:b/>
          <w:bCs/>
        </w:rPr>
        <w:t xml:space="preserve">Market Intelligence subscription growth</w:t>
      </w:r>
    </w:p>
    <w:p>
      <w:pPr>
        <w:pStyle w:val="Compact"/>
        <w:numPr>
          <w:ilvl w:val="0"/>
          <w:numId w:val="1001"/>
        </w:numPr>
      </w:pPr>
      <w:r>
        <w:rPr>
          <w:b/>
          <w:bCs/>
        </w:rPr>
        <w:t xml:space="preserve">The revised Energy outlook</w:t>
      </w:r>
    </w:p>
    <w:p>
      <w:pPr>
        <w:pStyle w:val="Compact"/>
        <w:numPr>
          <w:ilvl w:val="0"/>
          <w:numId w:val="1001"/>
        </w:numPr>
      </w:pPr>
      <w:r>
        <w:rPr>
          <w:b/>
          <w:bCs/>
        </w:rPr>
        <w:t xml:space="preserve">Deployment of the roughly $2 billion Mobility cash distribution</w:t>
      </w:r>
    </w:p>
    <w:p>
      <w:pPr>
        <w:pStyle w:val="FirstParagraph"/>
      </w:pPr>
      <w:r>
        <w:t xml:space="preserve">A modest EPS beat would matter less than management establishing a credible earnings, margin and capital-return framework for the four-division company.</w:t>
      </w:r>
    </w:p>
    <w:p>
      <w:r>
        <w:pict>
          <v:rect style="width:0;height:1.5pt" o:hralign="center" o:hrstd="t" o:hr="t"/>
        </w:pict>
      </w:r>
    </w:p>
    <w:bookmarkEnd w:id="10"/>
    <w:bookmarkStart w:id="14" w:name="the-accounting-setup-expect-noise"/>
    <w:p>
      <w:pPr>
        <w:pStyle w:val="Heading2"/>
      </w:pPr>
      <w:r>
        <w:t xml:space="preserve">The accounting setup: expect noise</w:t>
      </w:r>
    </w:p>
    <w:p>
      <w:pPr>
        <w:pStyle w:val="FirstParagraph"/>
      </w:pPr>
      <w:r>
        <w:t xml:space="preserve">Mobility Global became independent on</w:t>
      </w:r>
      <w:r>
        <w:t xml:space="preserve"> </w:t>
      </w:r>
      <w:r>
        <w:rPr>
          <w:b/>
          <w:bCs/>
        </w:rPr>
        <w:t xml:space="preserve">July 1, 2026</w:t>
      </w:r>
      <w:r>
        <w:t xml:space="preserve">. S&amp;P Global will include Mobility for the full second quarter in its GAAP results, but Mobility’s results through June 30 will ultimately be presented as discontinued operations. Starting in Q3, Mobility will be absent from both GAAP and adjusted results.</w:t>
      </w:r>
    </w:p>
    <w:p>
      <w:pPr>
        <w:pStyle w:val="BodyText"/>
      </w:pPr>
      <w:r>
        <w:t xml:space="preserve">S&amp;P Global has also recast its remaining divisions, moved products between Market Intelligence and Energy, and changed how shared expenses are allocated. The continuing company now consists of:</w:t>
      </w:r>
    </w:p>
    <w:p>
      <w:pPr>
        <w:pStyle w:val="Compact"/>
        <w:numPr>
          <w:ilvl w:val="0"/>
          <w:numId w:val="1002"/>
        </w:numPr>
      </w:pPr>
      <w:r>
        <w:rPr>
          <w:b/>
          <w:bCs/>
        </w:rPr>
        <w:t xml:space="preserve">Ratings</w:t>
      </w:r>
    </w:p>
    <w:p>
      <w:pPr>
        <w:pStyle w:val="Compact"/>
        <w:numPr>
          <w:ilvl w:val="0"/>
          <w:numId w:val="1002"/>
        </w:numPr>
      </w:pPr>
      <w:r>
        <w:rPr>
          <w:b/>
          <w:bCs/>
        </w:rPr>
        <w:t xml:space="preserve">Indices</w:t>
      </w:r>
    </w:p>
    <w:p>
      <w:pPr>
        <w:pStyle w:val="Compact"/>
        <w:numPr>
          <w:ilvl w:val="0"/>
          <w:numId w:val="1002"/>
        </w:numPr>
      </w:pPr>
      <w:r>
        <w:rPr>
          <w:b/>
          <w:bCs/>
        </w:rPr>
        <w:t xml:space="preserve">Energy</w:t>
      </w:r>
    </w:p>
    <w:p>
      <w:pPr>
        <w:pStyle w:val="Compact"/>
        <w:numPr>
          <w:ilvl w:val="0"/>
          <w:numId w:val="1002"/>
        </w:numPr>
      </w:pPr>
      <w:r>
        <w:rPr>
          <w:b/>
          <w:bCs/>
        </w:rPr>
        <w:t xml:space="preserve">Market Intelligence</w:t>
      </w:r>
    </w:p>
    <w:p>
      <w:pPr>
        <w:pStyle w:val="FirstParagraph"/>
      </w:pPr>
      <w:r>
        <w:t xml:space="preserve">On the recast 2025 base, Ratings and Market Intelligence each represented approximately 34% of revenue, Energy 18% and Indices 13%. Ratings generated 43% of adjusted segment profit and Indices 18%, highlighting the concentration of earnings in the two highest-margin businesses. (</w:t>
      </w:r>
      <w:hyperlink r:id="rId11">
        <w:r>
          <w:rPr>
            <w:rStyle w:val="Hyperlink"/>
          </w:rPr>
          <w:t xml:space="preserve">s29.q4cdn.com</w:t>
        </w:r>
      </w:hyperlink>
      <w:r>
        <w:t xml:space="preserve">)</w:t>
      </w:r>
    </w:p>
    <w:bookmarkStart w:id="13" w:name="relevant-recast-comparison-base"/>
    <w:p>
      <w:pPr>
        <w:pStyle w:val="Heading3"/>
      </w:pPr>
      <w:r>
        <w:t xml:space="preserve">Relevant recast comparison base</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Division</w:t>
            </w:r>
          </w:p>
        </w:tc>
        <w:tc>
          <w:tcPr/>
          <w:p>
            <w:pPr>
              <w:pStyle w:val="Compact"/>
              <w:jc w:val="right"/>
            </w:pPr>
            <w:r>
              <w:t xml:space="preserve">Q2 2025 recast revenue</w:t>
            </w:r>
          </w:p>
        </w:tc>
        <w:tc>
          <w:tcPr/>
          <w:p>
            <w:pPr>
              <w:pStyle w:val="Compact"/>
            </w:pPr>
            <w:r>
              <w:t xml:space="preserve">Q2 focus</w:t>
            </w:r>
          </w:p>
        </w:tc>
      </w:tr>
      <w:tr>
        <w:tc>
          <w:tcPr/>
          <w:p>
            <w:pPr>
              <w:pStyle w:val="Compact"/>
            </w:pPr>
            <w:r>
              <w:t xml:space="preserve">Ratings</w:t>
            </w:r>
          </w:p>
        </w:tc>
        <w:tc>
          <w:tcPr/>
          <w:p>
            <w:pPr>
              <w:pStyle w:val="Compact"/>
              <w:jc w:val="right"/>
            </w:pPr>
            <w:r>
              <w:t xml:space="preserve">$1.148B</w:t>
            </w:r>
          </w:p>
        </w:tc>
        <w:tc>
          <w:tcPr/>
          <w:p>
            <w:pPr>
              <w:pStyle w:val="Compact"/>
            </w:pPr>
            <w:r>
              <w:t xml:space="preserve">Transaction revenue, billed issuance and mix</w:t>
            </w:r>
          </w:p>
        </w:tc>
      </w:tr>
      <w:tr>
        <w:tc>
          <w:tcPr/>
          <w:p>
            <w:pPr>
              <w:pStyle w:val="Compact"/>
            </w:pPr>
            <w:r>
              <w:t xml:space="preserve">Indices</w:t>
            </w:r>
          </w:p>
        </w:tc>
        <w:tc>
          <w:tcPr/>
          <w:p>
            <w:pPr>
              <w:pStyle w:val="Compact"/>
              <w:jc w:val="right"/>
            </w:pPr>
            <w:r>
              <w:t xml:space="preserve">$446M</w:t>
            </w:r>
          </w:p>
        </w:tc>
        <w:tc>
          <w:tcPr/>
          <w:p>
            <w:pPr>
              <w:pStyle w:val="Compact"/>
            </w:pPr>
            <w:r>
              <w:t xml:space="preserve">Asset-linked fees and derivatives volumes</w:t>
            </w:r>
          </w:p>
        </w:tc>
      </w:tr>
      <w:tr>
        <w:tc>
          <w:tcPr/>
          <w:p>
            <w:pPr>
              <w:pStyle w:val="Compact"/>
            </w:pPr>
            <w:r>
              <w:t xml:space="preserve">Energy</w:t>
            </w:r>
          </w:p>
        </w:tc>
        <w:tc>
          <w:tcPr/>
          <w:p>
            <w:pPr>
              <w:pStyle w:val="Compact"/>
              <w:jc w:val="right"/>
            </w:pPr>
            <w:r>
              <w:t xml:space="preserve">$607M</w:t>
            </w:r>
          </w:p>
        </w:tc>
        <w:tc>
          <w:tcPr/>
          <w:p>
            <w:pPr>
              <w:pStyle w:val="Compact"/>
            </w:pPr>
            <w:r>
              <w:t xml:space="preserve">Iran-related demand pressure and Platts activity</w:t>
            </w:r>
          </w:p>
        </w:tc>
      </w:tr>
      <w:tr>
        <w:tc>
          <w:tcPr/>
          <w:p>
            <w:pPr>
              <w:pStyle w:val="Compact"/>
            </w:pPr>
            <w:r>
              <w:t xml:space="preserve">Market Intelligence</w:t>
            </w:r>
          </w:p>
        </w:tc>
        <w:tc>
          <w:tcPr/>
          <w:p>
            <w:pPr>
              <w:pStyle w:val="Compact"/>
              <w:jc w:val="right"/>
            </w:pPr>
            <w:r>
              <w:t xml:space="preserve">$1.165B</w:t>
            </w:r>
          </w:p>
        </w:tc>
        <w:tc>
          <w:tcPr/>
          <w:p>
            <w:pPr>
              <w:pStyle w:val="Compact"/>
            </w:pPr>
            <w:r>
              <w:t xml:space="preserve">Subscription growth and AI monetization</w:t>
            </w:r>
          </w:p>
        </w:tc>
      </w:tr>
    </w:tbl>
    <w:p>
      <w:pPr>
        <w:pStyle w:val="BodyText"/>
      </w:pPr>
      <w:r>
        <w:t xml:space="preserve">Published consensus is unusually inconsistent: Zacks lists approximately</w:t>
      </w:r>
      <w:r>
        <w:t xml:space="preserve"> </w:t>
      </w:r>
      <w:r>
        <w:rPr>
          <w:b/>
          <w:bCs/>
        </w:rPr>
        <w:t xml:space="preserve">$3.65 billion of revenue and</w:t>
      </w:r>
      <w:r>
        <w:rPr>
          <w:b/>
          <w:bCs/>
        </w:rPr>
        <w:t xml:space="preserve"> </w:t>
      </w:r>
      <m:oMath>
        <m:r>
          <m:t>4.49</m:t>
        </m:r>
        <m:r>
          <m:t>o</m:t>
        </m:r>
        <m:r>
          <m:t>f</m:t>
        </m:r>
        <m:r>
          <m:t>E</m:t>
        </m:r>
        <m:r>
          <m:t>P</m:t>
        </m:r>
        <m:r>
          <m:t>S</m:t>
        </m:r>
        <m:r>
          <m:rPr>
            <m:sty m:val="p"/>
          </m:rPr>
          <m:t>*</m:t>
        </m:r>
        <m:r>
          <m:rPr>
            <m:sty m:val="p"/>
          </m:rPr>
          <m:t>*</m:t>
        </m:r>
        <m:r>
          <m:rPr>
            <m:sty m:val="p"/>
          </m:rPr>
          <m:t>,</m:t>
        </m:r>
        <m:r>
          <m:t>w</m:t>
        </m:r>
        <m:r>
          <m:t>h</m:t>
        </m:r>
        <m:r>
          <m:t>i</m:t>
        </m:r>
        <m:r>
          <m:t>l</m:t>
        </m:r>
        <m:r>
          <m:t>e</m:t>
        </m:r>
        <m:r>
          <m:t>T</m:t>
        </m:r>
        <m:r>
          <m:t>i</m:t>
        </m:r>
        <m:r>
          <m:t>p</m:t>
        </m:r>
        <m:r>
          <m:t>R</m:t>
        </m:r>
        <m:r>
          <m:t>a</m:t>
        </m:r>
        <m:r>
          <m:t>n</m:t>
        </m:r>
        <m:r>
          <m:t>k</m:t>
        </m:r>
        <m:r>
          <m:t>s</m:t>
        </m:r>
        <m:r>
          <m:t>s</m:t>
        </m:r>
        <m:r>
          <m:t>h</m:t>
        </m:r>
        <m:r>
          <m:t>o</m:t>
        </m:r>
        <m:r>
          <m:t>w</m:t>
        </m:r>
        <m:r>
          <m:t>s</m:t>
        </m:r>
        <m:r>
          <m:t>a</m:t>
        </m:r>
        <m:r>
          <m:t>n</m:t>
        </m:r>
        <m:r>
          <m:t>E</m:t>
        </m:r>
        <m:r>
          <m:t>P</m:t>
        </m:r>
        <m:r>
          <m:t>S</m:t>
        </m:r>
        <m:r>
          <m:t>f</m:t>
        </m:r>
        <m:r>
          <m:t>o</m:t>
        </m:r>
        <m:r>
          <m:t>r</m:t>
        </m:r>
        <m:r>
          <m:t>e</m:t>
        </m:r>
        <m:r>
          <m:t>c</m:t>
        </m:r>
        <m:r>
          <m:t>a</m:t>
        </m:r>
        <m:r>
          <m:t>s</m:t>
        </m:r>
        <m:r>
          <m:t>t</m:t>
        </m:r>
        <m:r>
          <m:t>c</m:t>
        </m:r>
        <m:r>
          <m:t>l</m:t>
        </m:r>
        <m:r>
          <m:t>o</m:t>
        </m:r>
        <m:r>
          <m:t>s</m:t>
        </m:r>
        <m:r>
          <m:t>e</m:t>
        </m:r>
        <m:r>
          <m:t>r</m:t>
        </m:r>
        <m:r>
          <m:t>t</m:t>
        </m:r>
        <m:r>
          <m:t>o</m:t>
        </m:r>
        <m:r>
          <m:rPr>
            <m:sty m:val="p"/>
          </m:rPr>
          <m:t>*</m:t>
        </m:r>
        <m:r>
          <m:rPr>
            <m:sty m:val="p"/>
          </m:rPr>
          <m:t>*</m:t>
        </m:r>
      </m:oMath>
      <w:r>
        <w:rPr>
          <w:b/>
          <w:bCs/>
        </w:rPr>
        <w:t xml:space="preserve">4.81</w:t>
      </w:r>
      <w:r>
        <w:t xml:space="preserve">. That dispersion likely reflects differing treatment of Mobility and the recast financials. Investors should therefore rely more heavily on continuing-operations results, segment KPIs and updated guidance than on the headline “beat or miss.” (</w:t>
      </w:r>
      <w:hyperlink r:id="rId12">
        <w:r>
          <w:rPr>
            <w:rStyle w:val="Hyperlink"/>
          </w:rPr>
          <w:t xml:space="preserve">stage.zacks.com</w:t>
        </w:r>
      </w:hyperlink>
      <w:r>
        <w:t xml:space="preserve">)</w:t>
      </w:r>
    </w:p>
    <w:p>
      <w:r>
        <w:pict>
          <v:rect style="width:0;height:1.5pt" o:hralign="center" o:hrstd="t" o:hr="t"/>
        </w:pict>
      </w:r>
    </w:p>
    <w:bookmarkEnd w:id="13"/>
    <w:bookmarkEnd w:id="14"/>
    <w:bookmarkStart w:id="19" w:name="Xbbd108dbc9a37d863d918fb4306bd665068cac4"/>
    <w:p>
      <w:pPr>
        <w:pStyle w:val="Heading2"/>
      </w:pPr>
      <w:r>
        <w:t xml:space="preserve">1. Ratings should be the main source of upside</w:t>
      </w:r>
    </w:p>
    <w:p>
      <w:pPr>
        <w:pStyle w:val="FirstParagraph"/>
      </w:pPr>
      <w:r>
        <w:t xml:space="preserve">Ratings entered Q2 with considerable momentum. In Q1:</w:t>
      </w:r>
    </w:p>
    <w:p>
      <w:pPr>
        <w:pStyle w:val="Compact"/>
        <w:numPr>
          <w:ilvl w:val="0"/>
          <w:numId w:val="1003"/>
        </w:numPr>
      </w:pPr>
      <w:r>
        <w:t xml:space="preserve">Revenue increased</w:t>
      </w:r>
      <w:r>
        <w:t xml:space="preserve"> </w:t>
      </w:r>
      <w:r>
        <w:rPr>
          <w:b/>
          <w:bCs/>
        </w:rPr>
        <w:t xml:space="preserve">13%</w:t>
      </w:r>
    </w:p>
    <w:p>
      <w:pPr>
        <w:pStyle w:val="Compact"/>
        <w:numPr>
          <w:ilvl w:val="0"/>
          <w:numId w:val="1003"/>
        </w:numPr>
      </w:pPr>
      <w:r>
        <w:t xml:space="preserve">Transaction revenue increased</w:t>
      </w:r>
      <w:r>
        <w:t xml:space="preserve"> </w:t>
      </w:r>
      <w:r>
        <w:rPr>
          <w:b/>
          <w:bCs/>
        </w:rPr>
        <w:t xml:space="preserve">15%</w:t>
      </w:r>
    </w:p>
    <w:p>
      <w:pPr>
        <w:pStyle w:val="Compact"/>
        <w:numPr>
          <w:ilvl w:val="0"/>
          <w:numId w:val="1003"/>
        </w:numPr>
      </w:pPr>
      <w:r>
        <w:t xml:space="preserve">Non-transaction revenue increased</w:t>
      </w:r>
      <w:r>
        <w:t xml:space="preserve"> </w:t>
      </w:r>
      <w:r>
        <w:rPr>
          <w:b/>
          <w:bCs/>
        </w:rPr>
        <w:t xml:space="preserve">11%</w:t>
      </w:r>
    </w:p>
    <w:p>
      <w:pPr>
        <w:pStyle w:val="Compact"/>
        <w:numPr>
          <w:ilvl w:val="0"/>
          <w:numId w:val="1003"/>
        </w:numPr>
      </w:pPr>
      <w:r>
        <w:t xml:space="preserve">Billed issuance rose</w:t>
      </w:r>
      <w:r>
        <w:t xml:space="preserve"> </w:t>
      </w:r>
      <w:r>
        <w:rPr>
          <w:b/>
          <w:bCs/>
        </w:rPr>
        <w:t xml:space="preserve">14%</w:t>
      </w:r>
    </w:p>
    <w:p>
      <w:pPr>
        <w:pStyle w:val="Compact"/>
        <w:numPr>
          <w:ilvl w:val="0"/>
          <w:numId w:val="1003"/>
        </w:numPr>
      </w:pPr>
      <w:r>
        <w:t xml:space="preserve">Investment-grade billed issuance rose</w:t>
      </w:r>
      <w:r>
        <w:t xml:space="preserve"> </w:t>
      </w:r>
      <w:r>
        <w:rPr>
          <w:b/>
          <w:bCs/>
        </w:rPr>
        <w:t xml:space="preserve">41%</w:t>
      </w:r>
    </w:p>
    <w:p>
      <w:pPr>
        <w:pStyle w:val="Compact"/>
        <w:numPr>
          <w:ilvl w:val="0"/>
          <w:numId w:val="1003"/>
        </w:numPr>
      </w:pPr>
      <w:r>
        <w:t xml:space="preserve">Adjusted operating margin was approximately</w:t>
      </w:r>
      <w:r>
        <w:t xml:space="preserve"> </w:t>
      </w:r>
      <w:r>
        <w:rPr>
          <w:b/>
          <w:bCs/>
        </w:rPr>
        <w:t xml:space="preserve">67%</w:t>
      </w:r>
    </w:p>
    <w:p>
      <w:pPr>
        <w:pStyle w:val="FirstParagraph"/>
      </w:pPr>
      <w:r>
        <w:t xml:space="preserve">Management cautioned that some hyperscaler issuance had been pulled forward and said it did not expect Q2 Ratings growth to accelerate from Q1. However, Q2 also faced a favorable year-over-year comparison because debt markets were disrupted following “Liberation Day” in April 2025. S&amp;P Global maintained its Ratings outlook at the Q1 report. (</w:t>
      </w:r>
      <w:hyperlink r:id="rId15">
        <w:r>
          <w:rPr>
            <w:rStyle w:val="Hyperlink"/>
          </w:rPr>
          <w:t xml:space="preserve">sec.gov</w:t>
        </w:r>
      </w:hyperlink>
      <w:r>
        <w:t xml:space="preserve">)</w:t>
      </w:r>
    </w:p>
    <w:bookmarkStart w:id="17" w:name="the-moodys-read-through-is-positive"/>
    <w:p>
      <w:pPr>
        <w:pStyle w:val="Heading3"/>
      </w:pPr>
      <w:r>
        <w:t xml:space="preserve">The Moody’s read-through is positive</w:t>
      </w:r>
    </w:p>
    <w:p>
      <w:pPr>
        <w:pStyle w:val="FirstParagraph"/>
      </w:pPr>
      <w:r>
        <w:t xml:space="preserve">Moody’s reported an exceptionally strong Q2:</w:t>
      </w:r>
    </w:p>
    <w:p>
      <w:pPr>
        <w:pStyle w:val="Compact"/>
        <w:numPr>
          <w:ilvl w:val="0"/>
          <w:numId w:val="1004"/>
        </w:numPr>
      </w:pPr>
      <w:r>
        <w:t xml:space="preserve">Rated issuance increased</w:t>
      </w:r>
      <w:r>
        <w:t xml:space="preserve"> </w:t>
      </w:r>
      <w:r>
        <w:rPr>
          <w:b/>
          <w:bCs/>
        </w:rPr>
        <w:t xml:space="preserve">33%</w:t>
      </w:r>
    </w:p>
    <w:p>
      <w:pPr>
        <w:pStyle w:val="Compact"/>
        <w:numPr>
          <w:ilvl w:val="0"/>
          <w:numId w:val="1004"/>
        </w:numPr>
      </w:pPr>
      <w:r>
        <w:t xml:space="preserve">Ratings transaction revenue increased</w:t>
      </w:r>
      <w:r>
        <w:t xml:space="preserve"> </w:t>
      </w:r>
      <w:r>
        <w:rPr>
          <w:b/>
          <w:bCs/>
        </w:rPr>
        <w:t xml:space="preserve">34%</w:t>
      </w:r>
    </w:p>
    <w:p>
      <w:pPr>
        <w:pStyle w:val="Compact"/>
        <w:numPr>
          <w:ilvl w:val="0"/>
          <w:numId w:val="1004"/>
        </w:numPr>
      </w:pPr>
      <w:r>
        <w:t xml:space="preserve">More than</w:t>
      </w:r>
      <w:r>
        <w:t xml:space="preserve"> </w:t>
      </w:r>
      <w:r>
        <w:rPr>
          <w:b/>
          <w:bCs/>
        </w:rPr>
        <w:t xml:space="preserve">$2 trillion</w:t>
      </w:r>
      <w:r>
        <w:t xml:space="preserve"> </w:t>
      </w:r>
      <w:r>
        <w:t xml:space="preserve">of debt was rated for a second consecutive quarter</w:t>
      </w:r>
    </w:p>
    <w:p>
      <w:pPr>
        <w:pStyle w:val="Compact"/>
        <w:numPr>
          <w:ilvl w:val="0"/>
          <w:numId w:val="1004"/>
        </w:numPr>
      </w:pPr>
      <w:r>
        <w:t xml:space="preserve">Ratings adjusted margin reached</w:t>
      </w:r>
      <w:r>
        <w:t xml:space="preserve"> </w:t>
      </w:r>
      <w:r>
        <w:rPr>
          <w:b/>
          <w:bCs/>
        </w:rPr>
        <w:t xml:space="preserve">68.3%</w:t>
      </w:r>
    </w:p>
    <w:p>
      <w:pPr>
        <w:pStyle w:val="FirstParagraph"/>
      </w:pPr>
      <w:r>
        <w:t xml:space="preserve">Moody’s attributed the strength to AI and data-center financing, refinancing, private credit, infrastructure and financial-institution issuance. This is a strong read-through for S&amp;P Global, although revenue conversion can differ because large investment-grade and frequent-issuer deals often carry lower fees per dollar of issuance. (</w:t>
      </w:r>
      <w:hyperlink r:id="rId16">
        <w:r>
          <w:rPr>
            <w:rStyle w:val="Hyperlink"/>
          </w:rPr>
          <w:t xml:space="preserve">investing.com</w:t>
        </w:r>
      </w:hyperlink>
      <w:r>
        <w:t xml:space="preserve">)</w:t>
      </w:r>
    </w:p>
    <w:bookmarkEnd w:id="17"/>
    <w:bookmarkStart w:id="18" w:name="what-to-watch"/>
    <w:p>
      <w:pPr>
        <w:pStyle w:val="Heading3"/>
      </w:pPr>
      <w:r>
        <w:t xml:space="preserve">What to watch</w:t>
      </w:r>
    </w:p>
    <w:p>
      <w:pPr>
        <w:pStyle w:val="Compact"/>
        <w:numPr>
          <w:ilvl w:val="0"/>
          <w:numId w:val="1005"/>
        </w:numPr>
      </w:pPr>
      <w:r>
        <w:t xml:space="preserve">Whether Ratings revenue remains around</w:t>
      </w:r>
      <w:r>
        <w:t xml:space="preserve"> </w:t>
      </w:r>
      <w:r>
        <w:rPr>
          <w:b/>
          <w:bCs/>
        </w:rPr>
        <w:t xml:space="preserve">low-double-digit growth</w:t>
      </w:r>
    </w:p>
    <w:p>
      <w:pPr>
        <w:pStyle w:val="Compact"/>
        <w:numPr>
          <w:ilvl w:val="0"/>
          <w:numId w:val="1005"/>
        </w:numPr>
      </w:pPr>
      <w:r>
        <w:t xml:space="preserve">Investment-grade versus high-yield and bank-loan mix</w:t>
      </w:r>
    </w:p>
    <w:p>
      <w:pPr>
        <w:pStyle w:val="Compact"/>
        <w:numPr>
          <w:ilvl w:val="0"/>
          <w:numId w:val="1005"/>
        </w:numPr>
      </w:pPr>
      <w:r>
        <w:t xml:space="preserve">Hyperscaler and data-center issuance</w:t>
      </w:r>
    </w:p>
    <w:p>
      <w:pPr>
        <w:pStyle w:val="Compact"/>
        <w:numPr>
          <w:ilvl w:val="0"/>
          <w:numId w:val="1005"/>
        </w:numPr>
      </w:pPr>
      <w:r>
        <w:t xml:space="preserve">M&amp;A-related Rating Evaluation Services</w:t>
      </w:r>
    </w:p>
    <w:p>
      <w:pPr>
        <w:pStyle w:val="Compact"/>
        <w:numPr>
          <w:ilvl w:val="0"/>
          <w:numId w:val="1005"/>
        </w:numPr>
      </w:pPr>
      <w:r>
        <w:t xml:space="preserve">Private-credit revenue, which grew more than 25% in Q1</w:t>
      </w:r>
    </w:p>
    <w:p>
      <w:pPr>
        <w:pStyle w:val="Compact"/>
        <w:numPr>
          <w:ilvl w:val="0"/>
          <w:numId w:val="1005"/>
        </w:numPr>
      </w:pPr>
      <w:r>
        <w:t xml:space="preserve">Any upward revision to full-year billed-issuance assumptions</w:t>
      </w:r>
    </w:p>
    <w:p>
      <w:pPr>
        <w:pStyle w:val="FirstParagraph"/>
      </w:pPr>
      <w:r>
        <w:t xml:space="preserve">A strong volume number accompanied by weak transaction-revenue conversion would be less bullish than it initially appears. Conversely, sustained issuance plus stable pricing and margin would be the clearest positive surprise.</w:t>
      </w:r>
    </w:p>
    <w:p>
      <w:r>
        <w:pict>
          <v:rect style="width:0;height:1.5pt" o:hralign="center" o:hrstd="t" o:hr="t"/>
        </w:pict>
      </w:r>
    </w:p>
    <w:bookmarkEnd w:id="18"/>
    <w:bookmarkEnd w:id="19"/>
    <w:bookmarkStart w:id="21" w:name="X862ad16cfaae2c0f3ce4f32ac52a81aa93aa39f"/>
    <w:p>
      <w:pPr>
        <w:pStyle w:val="Heading2"/>
      </w:pPr>
      <w:r>
        <w:t xml:space="preserve">2. Market Intelligence needs to demonstrate acceleration</w:t>
      </w:r>
    </w:p>
    <w:p>
      <w:pPr>
        <w:pStyle w:val="FirstParagraph"/>
      </w:pPr>
      <w:r>
        <w:t xml:space="preserve">Market Intelligence is the most important test of the recurring-growth story.</w:t>
      </w:r>
    </w:p>
    <w:p>
      <w:pPr>
        <w:pStyle w:val="BodyText"/>
      </w:pPr>
      <w:r>
        <w:t xml:space="preserve">On a recast basis, Q1 revenue was approximately</w:t>
      </w:r>
      <w:r>
        <w:t xml:space="preserve"> </w:t>
      </w:r>
      <w:r>
        <w:rPr>
          <w:b/>
          <w:bCs/>
        </w:rPr>
        <w:t xml:space="preserve">$1.224 billion</w:t>
      </w:r>
      <w:r>
        <w:t xml:space="preserve">, up about 8%, while adjusted margin was roughly 33%. Management said subscription growth was around 6% and expected it to accelerate in Q2, supported by:</w:t>
      </w:r>
    </w:p>
    <w:p>
      <w:pPr>
        <w:pStyle w:val="Compact"/>
        <w:numPr>
          <w:ilvl w:val="0"/>
          <w:numId w:val="1006"/>
        </w:numPr>
      </w:pPr>
      <w:r>
        <w:t xml:space="preserve">Improving renewals</w:t>
      </w:r>
    </w:p>
    <w:p>
      <w:pPr>
        <w:pStyle w:val="Compact"/>
        <w:numPr>
          <w:ilvl w:val="0"/>
          <w:numId w:val="1006"/>
        </w:numPr>
      </w:pPr>
      <w:r>
        <w:t xml:space="preserve">Higher average deal sizes</w:t>
      </w:r>
    </w:p>
    <w:p>
      <w:pPr>
        <w:pStyle w:val="Compact"/>
        <w:numPr>
          <w:ilvl w:val="0"/>
          <w:numId w:val="1006"/>
        </w:numPr>
      </w:pPr>
      <w:r>
        <w:t xml:space="preserve">A growing sales pipeline</w:t>
      </w:r>
    </w:p>
    <w:p>
      <w:pPr>
        <w:pStyle w:val="Compact"/>
        <w:numPr>
          <w:ilvl w:val="0"/>
          <w:numId w:val="1006"/>
        </w:numPr>
      </w:pPr>
      <w:r>
        <w:t xml:space="preserve">Strong Enterprise Solutions demand</w:t>
      </w:r>
    </w:p>
    <w:p>
      <w:pPr>
        <w:pStyle w:val="Compact"/>
        <w:numPr>
          <w:ilvl w:val="0"/>
          <w:numId w:val="1006"/>
        </w:numPr>
      </w:pPr>
      <w:r>
        <w:t xml:space="preserve">With Intelligence</w:t>
      </w:r>
    </w:p>
    <w:p>
      <w:pPr>
        <w:pStyle w:val="Compact"/>
        <w:numPr>
          <w:ilvl w:val="0"/>
          <w:numId w:val="1006"/>
        </w:numPr>
      </w:pPr>
      <w:r>
        <w:t xml:space="preserve">Increasing adoption of AI-ready data and APIs</w:t>
      </w:r>
    </w:p>
    <w:p>
      <w:pPr>
        <w:pStyle w:val="FirstParagraph"/>
      </w:pPr>
      <w:r>
        <w:t xml:space="preserve">The division is now reported through two businesses:</w:t>
      </w:r>
    </w:p>
    <w:p>
      <w:pPr>
        <w:pStyle w:val="Compact"/>
        <w:numPr>
          <w:ilvl w:val="0"/>
          <w:numId w:val="1007"/>
        </w:numPr>
      </w:pPr>
      <w:r>
        <w:rPr>
          <w:b/>
          <w:bCs/>
        </w:rPr>
        <w:t xml:space="preserve">Kensho Data &amp; Platforms</w:t>
      </w:r>
    </w:p>
    <w:p>
      <w:pPr>
        <w:pStyle w:val="Compact"/>
        <w:numPr>
          <w:ilvl w:val="0"/>
          <w:numId w:val="1007"/>
        </w:numPr>
      </w:pPr>
      <w:r>
        <w:rPr>
          <w:b/>
          <w:bCs/>
        </w:rPr>
        <w:t xml:space="preserve">Enterprise Solutions</w:t>
      </w:r>
    </w:p>
    <w:p>
      <w:pPr>
        <w:pStyle w:val="FirstParagraph"/>
      </w:pPr>
      <w:r>
        <w:t xml:space="preserve">That new structure is intended to make the data, AI-delivery and mission-critical workflow strategies easier to evaluate. (</w:t>
      </w:r>
      <w:hyperlink r:id="rId11">
        <w:r>
          <w:rPr>
            <w:rStyle w:val="Hyperlink"/>
          </w:rPr>
          <w:t xml:space="preserve">s29.q4cdn.com</w:t>
        </w:r>
      </w:hyperlink>
      <w:r>
        <w:t xml:space="preserve">)</w:t>
      </w:r>
    </w:p>
    <w:bookmarkStart w:id="20" w:name="X5408e820bd02da68a070118c5d2adee5a0a7c5b"/>
    <w:p>
      <w:pPr>
        <w:pStyle w:val="Heading3"/>
      </w:pPr>
      <w:r>
        <w:t xml:space="preserve">AI monetization is the key qualitative question</w:t>
      </w:r>
    </w:p>
    <w:p>
      <w:pPr>
        <w:pStyle w:val="FirstParagraph"/>
      </w:pPr>
      <w:r>
        <w:t xml:space="preserve">S&amp;P Global disclosed in Q1 that:</w:t>
      </w:r>
    </w:p>
    <w:p>
      <w:pPr>
        <w:pStyle w:val="Compact"/>
        <w:numPr>
          <w:ilvl w:val="0"/>
          <w:numId w:val="1008"/>
        </w:numPr>
      </w:pPr>
      <w:r>
        <w:t xml:space="preserve">More than one-third of Capital IQ Pro users were engaging with AI features</w:t>
      </w:r>
    </w:p>
    <w:p>
      <w:pPr>
        <w:pStyle w:val="Compact"/>
        <w:numPr>
          <w:ilvl w:val="0"/>
          <w:numId w:val="1008"/>
        </w:numPr>
      </w:pPr>
      <w:r>
        <w:t xml:space="preserve">Customers under contract or in trials for Kensho LLM-ready APIs had exceeded 300</w:t>
      </w:r>
    </w:p>
    <w:p>
      <w:pPr>
        <w:pStyle w:val="Compact"/>
        <w:numPr>
          <w:ilvl w:val="0"/>
          <w:numId w:val="1008"/>
        </w:numPr>
      </w:pPr>
      <w:r>
        <w:t xml:space="preserve">API-call volume was more than five times the prior-quarter level</w:t>
      </w:r>
    </w:p>
    <w:p>
      <w:pPr>
        <w:pStyle w:val="Compact"/>
        <w:numPr>
          <w:ilvl w:val="0"/>
          <w:numId w:val="1008"/>
        </w:numPr>
      </w:pPr>
      <w:r>
        <w:t xml:space="preserve">Growth and retention were stronger among customers using AI solutions</w:t>
      </w:r>
    </w:p>
    <w:p>
      <w:pPr>
        <w:pStyle w:val="Compact"/>
        <w:numPr>
          <w:ilvl w:val="0"/>
          <w:numId w:val="1008"/>
        </w:numPr>
      </w:pPr>
      <w:r>
        <w:t xml:space="preserve">Some customers accepted substantial renewal increases for AI-ready access</w:t>
      </w:r>
    </w:p>
    <w:p>
      <w:pPr>
        <w:pStyle w:val="FirstParagraph"/>
      </w:pPr>
      <w:r>
        <w:t xml:space="preserve">Investors should look for evidence that this usage is becoming measurable revenue rather than remaining primarily a retention and engagement story.</w:t>
      </w:r>
    </w:p>
    <w:p>
      <w:pPr>
        <w:pStyle w:val="BodyText"/>
      </w:pPr>
      <w:r>
        <w:rPr>
          <w:b/>
          <w:bCs/>
        </w:rPr>
        <w:t xml:space="preserve">A good result:</w:t>
      </w:r>
      <w:r>
        <w:t xml:space="preserve"> </w:t>
      </w:r>
      <w:r>
        <w:t xml:space="preserve">subscription growth accelerates above Q1’s 6% rate, ACV improves and management quantifies incremental AI-related pricing or sales.</w:t>
      </w:r>
    </w:p>
    <w:p>
      <w:pPr>
        <w:pStyle w:val="BodyText"/>
      </w:pPr>
      <w:r>
        <w:rPr>
          <w:b/>
          <w:bCs/>
        </w:rPr>
        <w:t xml:space="preserve">A weaker result:</w:t>
      </w:r>
      <w:r>
        <w:t xml:space="preserve"> </w:t>
      </w:r>
      <w:r>
        <w:t xml:space="preserve">engagement metrics continue rising, but ACV, subscription revenue and net sales remain around 6%.</w:t>
      </w:r>
    </w:p>
    <w:p>
      <w:r>
        <w:pict>
          <v:rect style="width:0;height:1.5pt" o:hralign="center" o:hrstd="t" o:hr="t"/>
        </w:pict>
      </w:r>
    </w:p>
    <w:bookmarkEnd w:id="20"/>
    <w:bookmarkEnd w:id="21"/>
    <w:bookmarkStart w:id="22" w:name="X251b3d55054a39a55c07941dea56562d494c999"/>
    <w:p>
      <w:pPr>
        <w:pStyle w:val="Heading2"/>
      </w:pPr>
      <w:r>
        <w:t xml:space="preserve">3. Indices should remain a dependable growth engine</w:t>
      </w:r>
    </w:p>
    <w:p>
      <w:pPr>
        <w:pStyle w:val="FirstParagraph"/>
      </w:pPr>
      <w:r>
        <w:t xml:space="preserve">Indices was S&amp;P Global’s fastest-growing division in Q1:</w:t>
      </w:r>
    </w:p>
    <w:p>
      <w:pPr>
        <w:pStyle w:val="Compact"/>
        <w:numPr>
          <w:ilvl w:val="0"/>
          <w:numId w:val="1009"/>
        </w:numPr>
      </w:pPr>
      <w:r>
        <w:t xml:space="preserve">Revenue increased</w:t>
      </w:r>
      <w:r>
        <w:t xml:space="preserve"> </w:t>
      </w:r>
      <w:r>
        <w:rPr>
          <w:b/>
          <w:bCs/>
        </w:rPr>
        <w:t xml:space="preserve">17%</w:t>
      </w:r>
    </w:p>
    <w:p>
      <w:pPr>
        <w:pStyle w:val="Compact"/>
        <w:numPr>
          <w:ilvl w:val="0"/>
          <w:numId w:val="1009"/>
        </w:numPr>
      </w:pPr>
      <w:r>
        <w:t xml:space="preserve">Asset-linked fees increased</w:t>
      </w:r>
      <w:r>
        <w:t xml:space="preserve"> </w:t>
      </w:r>
      <w:r>
        <w:rPr>
          <w:b/>
          <w:bCs/>
        </w:rPr>
        <w:t xml:space="preserve">18%</w:t>
      </w:r>
    </w:p>
    <w:p>
      <w:pPr>
        <w:pStyle w:val="Compact"/>
        <w:numPr>
          <w:ilvl w:val="0"/>
          <w:numId w:val="1009"/>
        </w:numPr>
      </w:pPr>
      <w:r>
        <w:t xml:space="preserve">Exchange-traded derivatives revenue increased</w:t>
      </w:r>
      <w:r>
        <w:t xml:space="preserve"> </w:t>
      </w:r>
      <w:r>
        <w:rPr>
          <w:b/>
          <w:bCs/>
        </w:rPr>
        <w:t xml:space="preserve">18%</w:t>
      </w:r>
    </w:p>
    <w:p>
      <w:pPr>
        <w:pStyle w:val="Compact"/>
        <w:numPr>
          <w:ilvl w:val="0"/>
          <w:numId w:val="1009"/>
        </w:numPr>
      </w:pPr>
      <w:r>
        <w:t xml:space="preserve">Data and custom subscriptions increased</w:t>
      </w:r>
      <w:r>
        <w:t xml:space="preserve"> </w:t>
      </w:r>
      <w:r>
        <w:rPr>
          <w:b/>
          <w:bCs/>
        </w:rPr>
        <w:t xml:space="preserve">12%</w:t>
      </w:r>
    </w:p>
    <w:p>
      <w:pPr>
        <w:pStyle w:val="Compact"/>
        <w:numPr>
          <w:ilvl w:val="0"/>
          <w:numId w:val="1009"/>
        </w:numPr>
      </w:pPr>
      <w:r>
        <w:t xml:space="preserve">Adjusted margin was approximately</w:t>
      </w:r>
      <w:r>
        <w:t xml:space="preserve"> </w:t>
      </w:r>
      <w:r>
        <w:rPr>
          <w:b/>
          <w:bCs/>
        </w:rPr>
        <w:t xml:space="preserve">73%</w:t>
      </w:r>
    </w:p>
    <w:p>
      <w:pPr>
        <w:pStyle w:val="FirstParagraph"/>
      </w:pPr>
      <w:r>
        <w:t xml:space="preserve">Management expected another robust quarter before growth decelerates in the second half against tougher comparisons.</w:t>
      </w:r>
    </w:p>
    <w:p>
      <w:pPr>
        <w:pStyle w:val="BodyText"/>
      </w:pPr>
      <w:r>
        <w:t xml:space="preserve">The division benefits from two partially offsetting forces:</w:t>
      </w:r>
    </w:p>
    <w:p>
      <w:pPr>
        <w:pStyle w:val="Compact"/>
        <w:numPr>
          <w:ilvl w:val="0"/>
          <w:numId w:val="1010"/>
        </w:numPr>
      </w:pPr>
      <w:r>
        <w:t xml:space="preserve">Higher equity markets and net inflows lift asset-linked revenue</w:t>
      </w:r>
    </w:p>
    <w:p>
      <w:pPr>
        <w:pStyle w:val="Compact"/>
        <w:numPr>
          <w:ilvl w:val="0"/>
          <w:numId w:val="1010"/>
        </w:numPr>
      </w:pPr>
      <w:r>
        <w:t xml:space="preserve">Volatility drives derivatives trading volumes</w:t>
      </w:r>
    </w:p>
    <w:p>
      <w:pPr>
        <w:pStyle w:val="FirstParagraph"/>
      </w:pPr>
      <w:r>
        <w:t xml:space="preserve">The risk is mix: volatile markets can push flows toward lower-priced products tied to major benchmarks such as the S&amp;P 500, reducing realized fee rates even when assets rise.</w:t>
      </w:r>
    </w:p>
    <w:p>
      <w:pPr>
        <w:pStyle w:val="BodyText"/>
      </w:pPr>
      <w:r>
        <w:t xml:space="preserve">The most useful metrics will be average index-linked AUM, net flows, SPX derivatives volumes and realized asset-linked pricing.</w:t>
      </w:r>
    </w:p>
    <w:p>
      <w:r>
        <w:pict>
          <v:rect style="width:0;height:1.5pt" o:hralign="center" o:hrstd="t" o:hr="t"/>
        </w:pict>
      </w:r>
    </w:p>
    <w:bookmarkEnd w:id="22"/>
    <w:bookmarkStart w:id="23" w:name="X961b0fa9f3396bc40c149538a417b53e22ab777"/>
    <w:p>
      <w:pPr>
        <w:pStyle w:val="Heading2"/>
      </w:pPr>
      <w:r>
        <w:t xml:space="preserve">4. Energy is the principal operating risk</w:t>
      </w:r>
    </w:p>
    <w:p>
      <w:pPr>
        <w:pStyle w:val="FirstParagraph"/>
      </w:pPr>
      <w:r>
        <w:t xml:space="preserve">Energy’s Q1 revenue grew 7%, but management lowered full-year organic constant-currency growth guidance by one percentage point to</w:t>
      </w:r>
      <w:r>
        <w:t xml:space="preserve"> </w:t>
      </w:r>
      <w:r>
        <w:rPr>
          <w:b/>
          <w:bCs/>
        </w:rPr>
        <w:t xml:space="preserve">4.5%–6%</w:t>
      </w:r>
      <w:r>
        <w:t xml:space="preserve"> </w:t>
      </w:r>
      <w:r>
        <w:t xml:space="preserve">because of the Iran conflict and associated disruption to customers and supply chains.</w:t>
      </w:r>
    </w:p>
    <w:p>
      <w:pPr>
        <w:pStyle w:val="BodyText"/>
      </w:pPr>
      <w:r>
        <w:t xml:space="preserve">Management specifically expected Q2 growth to fall slightly below that full-year range before improving in the second half. That makes low- to mid-single-digit organic growth a reasonable bar.</w:t>
      </w:r>
    </w:p>
    <w:p>
      <w:pPr>
        <w:pStyle w:val="BodyText"/>
      </w:pPr>
      <w:r>
        <w:t xml:space="preserve">The division is now organized as:</w:t>
      </w:r>
    </w:p>
    <w:p>
      <w:pPr>
        <w:pStyle w:val="Compact"/>
        <w:numPr>
          <w:ilvl w:val="0"/>
          <w:numId w:val="1011"/>
        </w:numPr>
      </w:pPr>
      <w:r>
        <w:rPr>
          <w:b/>
          <w:bCs/>
        </w:rPr>
        <w:t xml:space="preserve">Platts:</w:t>
      </w:r>
      <w:r>
        <w:t xml:space="preserve"> </w:t>
      </w:r>
      <w:r>
        <w:t xml:space="preserve">benchmark prices, forward curves, Global Trading Services and related content</w:t>
      </w:r>
    </w:p>
    <w:p>
      <w:pPr>
        <w:pStyle w:val="Compact"/>
        <w:numPr>
          <w:ilvl w:val="0"/>
          <w:numId w:val="1011"/>
        </w:numPr>
      </w:pPr>
      <w:r>
        <w:rPr>
          <w:b/>
          <w:bCs/>
        </w:rPr>
        <w:t xml:space="preserve">CERA:</w:t>
      </w:r>
      <w:r>
        <w:t xml:space="preserve"> </w:t>
      </w:r>
      <w:r>
        <w:t xml:space="preserve">proprietary research, data, conferences, supply-chain intelligence and CERA Titan</w:t>
      </w:r>
    </w:p>
    <w:p>
      <w:pPr>
        <w:pStyle w:val="FirstParagraph"/>
      </w:pPr>
      <w:r>
        <w:t xml:space="preserve">The report should address:</w:t>
      </w:r>
    </w:p>
    <w:p>
      <w:pPr>
        <w:pStyle w:val="Compact"/>
        <w:numPr>
          <w:ilvl w:val="0"/>
          <w:numId w:val="1012"/>
        </w:numPr>
      </w:pPr>
      <w:r>
        <w:t xml:space="preserve">Whether customer purchasing and renewals deteriorated further</w:t>
      </w:r>
    </w:p>
    <w:p>
      <w:pPr>
        <w:pStyle w:val="Compact"/>
        <w:numPr>
          <w:ilvl w:val="0"/>
          <w:numId w:val="1012"/>
        </w:numPr>
      </w:pPr>
      <w:r>
        <w:t xml:space="preserve">Whether energy-market volatility offset subscription pressure through trading royalties</w:t>
      </w:r>
    </w:p>
    <w:p>
      <w:pPr>
        <w:pStyle w:val="Compact"/>
        <w:numPr>
          <w:ilvl w:val="0"/>
          <w:numId w:val="1012"/>
        </w:numPr>
      </w:pPr>
      <w:r>
        <w:t xml:space="preserve">The timetable for renewed acceleration in the second half</w:t>
      </w:r>
    </w:p>
    <w:p>
      <w:pPr>
        <w:pStyle w:val="Compact"/>
        <w:numPr>
          <w:ilvl w:val="0"/>
          <w:numId w:val="1012"/>
        </w:numPr>
      </w:pPr>
      <w:r>
        <w:t xml:space="preserve">Initial commercial interest in the AI-native CERA Titan platform</w:t>
      </w:r>
    </w:p>
    <w:p>
      <w:pPr>
        <w:pStyle w:val="Compact"/>
        <w:numPr>
          <w:ilvl w:val="0"/>
          <w:numId w:val="1012"/>
        </w:numPr>
      </w:pPr>
      <w:r>
        <w:t xml:space="preserve">The pending divestiture of the upstream software portfolio to SLB</w:t>
      </w:r>
    </w:p>
    <w:p>
      <w:pPr>
        <w:pStyle w:val="FirstParagraph"/>
      </w:pPr>
      <w:r>
        <w:t xml:space="preserve">A further Energy guidance reduction would probably outweigh a modest consolidated EPS beat.</w:t>
      </w:r>
    </w:p>
    <w:p>
      <w:r>
        <w:pict>
          <v:rect style="width:0;height:1.5pt" o:hralign="center" o:hrstd="t" o:hr="t"/>
        </w:pict>
      </w:r>
    </w:p>
    <w:bookmarkEnd w:id="23"/>
    <w:bookmarkStart w:id="24" w:name="Xedf1d0dea949c4a06b26872b0b7448d0c9c4ae2"/>
    <w:p>
      <w:pPr>
        <w:pStyle w:val="Heading2"/>
      </w:pPr>
      <w:r>
        <w:t xml:space="preserve">5. Updated post-spin guidance could drive the largest stock move</w:t>
      </w:r>
    </w:p>
    <w:p>
      <w:pPr>
        <w:pStyle w:val="FirstParagraph"/>
      </w:pPr>
      <w:r>
        <w:t xml:space="preserve">Previous 2026 guidance included Mobility and called for:</w:t>
      </w:r>
    </w:p>
    <w:p>
      <w:pPr>
        <w:pStyle w:val="Compact"/>
        <w:numPr>
          <w:ilvl w:val="0"/>
          <w:numId w:val="1013"/>
        </w:numPr>
      </w:pPr>
      <w:r>
        <w:t xml:space="preserve">Organic constant-currency revenue growth of</w:t>
      </w:r>
      <w:r>
        <w:t xml:space="preserve"> </w:t>
      </w:r>
      <w:r>
        <w:rPr>
          <w:b/>
          <w:bCs/>
        </w:rPr>
        <w:t xml:space="preserve">6%–8%</w:t>
      </w:r>
    </w:p>
    <w:p>
      <w:pPr>
        <w:pStyle w:val="Compact"/>
        <w:numPr>
          <w:ilvl w:val="0"/>
          <w:numId w:val="1013"/>
        </w:numPr>
      </w:pPr>
      <w:r>
        <w:t xml:space="preserve">Adjusted EPS of</w:t>
      </w:r>
      <w:r>
        <w:t xml:space="preserve"> </w:t>
      </w:r>
      <m:oMath>
        <m:r>
          <m:t>19.40</m:t>
        </m:r>
        <m:r>
          <m:rPr>
            <m:sty m:val="p"/>
          </m:rPr>
          <m:t>–</m:t>
        </m:r>
      </m:oMath>
      <w:r>
        <w:rPr>
          <w:b/>
          <w:bCs/>
        </w:rPr>
        <w:t xml:space="preserve">19.65</w:t>
      </w:r>
    </w:p>
    <w:p>
      <w:pPr>
        <w:pStyle w:val="Compact"/>
        <w:numPr>
          <w:ilvl w:val="0"/>
          <w:numId w:val="1013"/>
        </w:numPr>
      </w:pPr>
      <w:r>
        <w:t xml:space="preserve">Enterprise margin expansion of</w:t>
      </w:r>
      <w:r>
        <w:t xml:space="preserve"> </w:t>
      </w:r>
      <w:r>
        <w:rPr>
          <w:b/>
          <w:bCs/>
        </w:rPr>
        <w:t xml:space="preserve">50–75 basis points</w:t>
      </w:r>
    </w:p>
    <w:p>
      <w:pPr>
        <w:pStyle w:val="Compact"/>
        <w:numPr>
          <w:ilvl w:val="0"/>
          <w:numId w:val="1013"/>
        </w:numPr>
      </w:pPr>
      <w:r>
        <w:t xml:space="preserve">Approximately</w:t>
      </w:r>
      <w:r>
        <w:t xml:space="preserve"> </w:t>
      </w:r>
      <w:r>
        <w:rPr>
          <w:b/>
          <w:bCs/>
        </w:rPr>
        <w:t xml:space="preserve">$4.5 billion</w:t>
      </w:r>
      <w:r>
        <w:t xml:space="preserve"> </w:t>
      </w:r>
      <w:r>
        <w:t xml:space="preserve">of share repurchases</w:t>
      </w:r>
    </w:p>
    <w:p>
      <w:pPr>
        <w:pStyle w:val="FirstParagraph"/>
      </w:pPr>
      <w:r>
        <w:t xml:space="preserve">Those figures are no longer directly applicable to continuing S&amp;P Global. The company said it would introduce GAAP guidance and update adjusted guidance excluding Mobility with Q2 results. (</w:t>
      </w:r>
      <w:hyperlink r:id="rId15">
        <w:r>
          <w:rPr>
            <w:rStyle w:val="Hyperlink"/>
          </w:rPr>
          <w:t xml:space="preserve">sec.gov</w:t>
        </w:r>
      </w:hyperlink>
      <w:r>
        <w:t xml:space="preserve">)</w:t>
      </w:r>
    </w:p>
    <w:p>
      <w:pPr>
        <w:pStyle w:val="BodyText"/>
      </w:pPr>
      <w:r>
        <w:t xml:space="preserve">Questions investors need answered:</w:t>
      </w:r>
    </w:p>
    <w:p>
      <w:pPr>
        <w:pStyle w:val="Compact"/>
        <w:numPr>
          <w:ilvl w:val="0"/>
          <w:numId w:val="1014"/>
        </w:numPr>
      </w:pPr>
      <w:r>
        <w:t xml:space="preserve">What is the new 2026 adjusted EPS range for continuing operations?</w:t>
      </w:r>
    </w:p>
    <w:p>
      <w:pPr>
        <w:pStyle w:val="Compact"/>
        <w:numPr>
          <w:ilvl w:val="0"/>
          <w:numId w:val="1014"/>
        </w:numPr>
      </w:pPr>
      <w:r>
        <w:t xml:space="preserve">Does the 50–75 basis-point margin-expansion goal remain intact?</w:t>
      </w:r>
    </w:p>
    <w:p>
      <w:pPr>
        <w:pStyle w:val="Compact"/>
        <w:numPr>
          <w:ilvl w:val="0"/>
          <w:numId w:val="1014"/>
        </w:numPr>
      </w:pPr>
      <w:r>
        <w:t xml:space="preserve">How much stranded cost remains after transition-service income?</w:t>
      </w:r>
    </w:p>
    <w:p>
      <w:pPr>
        <w:pStyle w:val="Compact"/>
        <w:numPr>
          <w:ilvl w:val="0"/>
          <w:numId w:val="1014"/>
        </w:numPr>
      </w:pPr>
      <w:r>
        <w:t xml:space="preserve">How much of the</w:t>
      </w:r>
      <w:r>
        <w:t xml:space="preserve"> </w:t>
      </w:r>
      <w:r>
        <w:rPr>
          <w:b/>
          <w:bCs/>
        </w:rPr>
        <w:t xml:space="preserve">$1.974 billion</w:t>
      </w:r>
      <w:r>
        <w:t xml:space="preserve"> </w:t>
      </w:r>
      <w:r>
        <w:t xml:space="preserve">cash distribution from Mobility will fund repurchases versus debt reduction?</w:t>
      </w:r>
    </w:p>
    <w:p>
      <w:pPr>
        <w:pStyle w:val="Compact"/>
        <w:numPr>
          <w:ilvl w:val="0"/>
          <w:numId w:val="1014"/>
        </w:numPr>
      </w:pPr>
      <w:r>
        <w:t xml:space="preserve">Does the lower share count offset most of Mobility’s lost earnings?</w:t>
      </w:r>
    </w:p>
    <w:p>
      <w:pPr>
        <w:pStyle w:val="Compact"/>
        <w:numPr>
          <w:ilvl w:val="0"/>
          <w:numId w:val="1014"/>
        </w:numPr>
      </w:pPr>
      <w:r>
        <w:t xml:space="preserve">What is the appropriate 2027 earnings base for the streamlined company?</w:t>
      </w:r>
    </w:p>
    <w:p>
      <w:pPr>
        <w:pStyle w:val="FirstParagraph"/>
      </w:pPr>
      <w:r>
        <w:t xml:space="preserve">The quality of this guidance bridge will likely matter more than Q2 headline EPS.</w:t>
      </w:r>
    </w:p>
    <w:p>
      <w:r>
        <w:pict>
          <v:rect style="width:0;height:1.5pt" o:hralign="center" o:hrstd="t" o:hr="t"/>
        </w:pict>
      </w:r>
    </w:p>
    <w:bookmarkEnd w:id="24"/>
    <w:bookmarkStart w:id="28" w:name="bull-base-and-bear-interpretations"/>
    <w:p>
      <w:pPr>
        <w:pStyle w:val="Heading2"/>
      </w:pPr>
      <w:r>
        <w:t xml:space="preserve">Bull, base and bear interpretations</w:t>
      </w:r>
    </w:p>
    <w:bookmarkStart w:id="25" w:name="bull-case"/>
    <w:p>
      <w:pPr>
        <w:pStyle w:val="Heading3"/>
      </w:pPr>
      <w:r>
        <w:t xml:space="preserve">Bull case</w:t>
      </w:r>
    </w:p>
    <w:p>
      <w:pPr>
        <w:pStyle w:val="Compact"/>
        <w:numPr>
          <w:ilvl w:val="0"/>
          <w:numId w:val="1015"/>
        </w:numPr>
      </w:pPr>
      <w:r>
        <w:t xml:space="preserve">Ratings posts low-double-digit or better growth with healthy fee conversion</w:t>
      </w:r>
    </w:p>
    <w:p>
      <w:pPr>
        <w:pStyle w:val="Compact"/>
        <w:numPr>
          <w:ilvl w:val="0"/>
          <w:numId w:val="1015"/>
        </w:numPr>
      </w:pPr>
      <w:r>
        <w:t xml:space="preserve">Market Intelligence subscription growth accelerates above 6%</w:t>
      </w:r>
    </w:p>
    <w:p>
      <w:pPr>
        <w:pStyle w:val="Compact"/>
        <w:numPr>
          <w:ilvl w:val="0"/>
          <w:numId w:val="1015"/>
        </w:numPr>
      </w:pPr>
      <w:r>
        <w:t xml:space="preserve">Indices remains double-digit</w:t>
      </w:r>
    </w:p>
    <w:p>
      <w:pPr>
        <w:pStyle w:val="Compact"/>
        <w:numPr>
          <w:ilvl w:val="0"/>
          <w:numId w:val="1015"/>
        </w:numPr>
      </w:pPr>
      <w:r>
        <w:t xml:space="preserve">Energy guidance stabilizes</w:t>
      </w:r>
    </w:p>
    <w:p>
      <w:pPr>
        <w:pStyle w:val="Compact"/>
        <w:numPr>
          <w:ilvl w:val="0"/>
          <w:numId w:val="1015"/>
        </w:numPr>
      </w:pPr>
      <w:r>
        <w:t xml:space="preserve">Post-spin margin guidance is maintained or improved</w:t>
      </w:r>
    </w:p>
    <w:p>
      <w:pPr>
        <w:pStyle w:val="Compact"/>
        <w:numPr>
          <w:ilvl w:val="0"/>
          <w:numId w:val="1015"/>
        </w:numPr>
      </w:pPr>
      <w:r>
        <w:t xml:space="preserve">Mobility proceeds support additional repurchases</w:t>
      </w:r>
    </w:p>
    <w:p>
      <w:pPr>
        <w:pStyle w:val="Compact"/>
        <w:numPr>
          <w:ilvl w:val="0"/>
          <w:numId w:val="1015"/>
        </w:numPr>
      </w:pPr>
      <w:r>
        <w:t xml:space="preserve">Management provides concrete AI revenue or ACV evidence</w:t>
      </w:r>
    </w:p>
    <w:bookmarkEnd w:id="25"/>
    <w:bookmarkStart w:id="26" w:name="base-case"/>
    <w:p>
      <w:pPr>
        <w:pStyle w:val="Heading3"/>
      </w:pPr>
      <w:r>
        <w:t xml:space="preserve">Base case</w:t>
      </w:r>
    </w:p>
    <w:p>
      <w:pPr>
        <w:pStyle w:val="Compact"/>
        <w:numPr>
          <w:ilvl w:val="0"/>
          <w:numId w:val="1016"/>
        </w:numPr>
      </w:pPr>
      <w:r>
        <w:t xml:space="preserve">Ratings and Indices are strong but broadly expected</w:t>
      </w:r>
    </w:p>
    <w:p>
      <w:pPr>
        <w:pStyle w:val="Compact"/>
        <w:numPr>
          <w:ilvl w:val="0"/>
          <w:numId w:val="1016"/>
        </w:numPr>
      </w:pPr>
      <w:r>
        <w:t xml:space="preserve">Market Intelligence improves only modestly</w:t>
      </w:r>
    </w:p>
    <w:p>
      <w:pPr>
        <w:pStyle w:val="Compact"/>
        <w:numPr>
          <w:ilvl w:val="0"/>
          <w:numId w:val="1016"/>
        </w:numPr>
      </w:pPr>
      <w:r>
        <w:t xml:space="preserve">Energy grows below the company average</w:t>
      </w:r>
    </w:p>
    <w:p>
      <w:pPr>
        <w:pStyle w:val="Compact"/>
        <w:numPr>
          <w:ilvl w:val="0"/>
          <w:numId w:val="1016"/>
        </w:numPr>
      </w:pPr>
      <w:r>
        <w:t xml:space="preserve">Post-spin guidance is mathematically lower but operationally unchanged</w:t>
      </w:r>
    </w:p>
    <w:p>
      <w:pPr>
        <w:pStyle w:val="Compact"/>
        <w:numPr>
          <w:ilvl w:val="0"/>
          <w:numId w:val="1016"/>
        </w:numPr>
      </w:pPr>
      <w:r>
        <w:t xml:space="preserve">Capital returns remain aggressive</w:t>
      </w:r>
    </w:p>
    <w:bookmarkEnd w:id="26"/>
    <w:bookmarkStart w:id="27" w:name="bear-case"/>
    <w:p>
      <w:pPr>
        <w:pStyle w:val="Heading3"/>
      </w:pPr>
      <w:r>
        <w:t xml:space="preserve">Bear case</w:t>
      </w:r>
    </w:p>
    <w:p>
      <w:pPr>
        <w:pStyle w:val="Compact"/>
        <w:numPr>
          <w:ilvl w:val="0"/>
          <w:numId w:val="1017"/>
        </w:numPr>
      </w:pPr>
      <w:r>
        <w:t xml:space="preserve">Strong issuance fails to translate into Ratings revenue</w:t>
      </w:r>
    </w:p>
    <w:p>
      <w:pPr>
        <w:pStyle w:val="Compact"/>
        <w:numPr>
          <w:ilvl w:val="0"/>
          <w:numId w:val="1017"/>
        </w:numPr>
      </w:pPr>
      <w:r>
        <w:t xml:space="preserve">Market Intelligence ACV remains around 6% despite AI enthusiasm</w:t>
      </w:r>
    </w:p>
    <w:p>
      <w:pPr>
        <w:pStyle w:val="Compact"/>
        <w:numPr>
          <w:ilvl w:val="0"/>
          <w:numId w:val="1017"/>
        </w:numPr>
      </w:pPr>
      <w:r>
        <w:t xml:space="preserve">Energy guidance is reduced again</w:t>
      </w:r>
    </w:p>
    <w:p>
      <w:pPr>
        <w:pStyle w:val="Compact"/>
        <w:numPr>
          <w:ilvl w:val="0"/>
          <w:numId w:val="1017"/>
        </w:numPr>
      </w:pPr>
      <w:r>
        <w:t xml:space="preserve">Stranded costs dilute the expected margin benefit of the spin</w:t>
      </w:r>
    </w:p>
    <w:p>
      <w:pPr>
        <w:pStyle w:val="Compact"/>
        <w:numPr>
          <w:ilvl w:val="0"/>
          <w:numId w:val="1017"/>
        </w:numPr>
      </w:pPr>
      <w:r>
        <w:t xml:space="preserve">New EPS guidance disappoints after adjusting for Mobility</w:t>
      </w:r>
    </w:p>
    <w:p>
      <w:pPr>
        <w:pStyle w:val="Compact"/>
        <w:numPr>
          <w:ilvl w:val="0"/>
          <w:numId w:val="1017"/>
        </w:numPr>
      </w:pPr>
      <w:r>
        <w:t xml:space="preserve">Cash proceeds are directed mainly toward deleveraging rather than repurchases</w:t>
      </w:r>
    </w:p>
    <w:p>
      <w:r>
        <w:pict>
          <v:rect style="width:0;height:1.5pt" o:hralign="center" o:hrstd="t" o:hr="t"/>
        </w:pict>
      </w:r>
    </w:p>
    <w:bookmarkEnd w:id="27"/>
    <w:bookmarkEnd w:id="28"/>
    <w:bookmarkStart w:id="29" w:name="bottom-line"/>
    <w:p>
      <w:pPr>
        <w:pStyle w:val="Heading2"/>
      </w:pPr>
      <w:r>
        <w:t xml:space="preserve">Bottom line</w:t>
      </w:r>
    </w:p>
    <w:p>
      <w:pPr>
        <w:pStyle w:val="FirstParagraph"/>
      </w:pPr>
      <w:r>
        <w:t xml:space="preserve">S&amp;P Global enters the report with favorable operating momentum in Ratings and Indices, a credible but still-unproven AI monetization opportunity in Market Intelligence, and identifiable pressure in Energy.</w:t>
      </w:r>
    </w:p>
    <w:p>
      <w:pPr>
        <w:pStyle w:val="BodyText"/>
      </w:pPr>
      <w:r>
        <w:t xml:space="preserve">The cleanest positive thesis is</w:t>
      </w:r>
      <w:r>
        <w:t xml:space="preserve"> </w:t>
      </w:r>
      <w:r>
        <w:rPr>
          <w:b/>
          <w:bCs/>
        </w:rPr>
        <w:t xml:space="preserve">strong debt issuance plus improving recurring data growth, amplified by high margins and aggressive buybacks</w:t>
      </w:r>
      <w:r>
        <w:t xml:space="preserve">. The main risks are</w:t>
      </w:r>
      <w:r>
        <w:t xml:space="preserve"> </w:t>
      </w:r>
      <w:r>
        <w:rPr>
          <w:b/>
          <w:bCs/>
        </w:rPr>
        <w:t xml:space="preserve">poor Ratings revenue conversion, another Energy downgrade and an underwhelming post-spin earnings bridge</w:t>
      </w:r>
      <w:r>
        <w:t xml:space="preserve">.</w:t>
      </w:r>
    </w:p>
    <w:p>
      <w:pPr>
        <w:pStyle w:val="BodyText"/>
      </w:pPr>
      <w:r>
        <w:t xml:space="preserve">With SPGI closing July 27 at about</w:t>
      </w:r>
      <w:r>
        <w:t xml:space="preserve"> </w:t>
      </w:r>
      <w:r>
        <w:rPr>
          <w:b/>
          <w:bCs/>
        </w:rPr>
        <w:t xml:space="preserve">$440</w:t>
      </w:r>
      <w:r>
        <w:t xml:space="preserve">, the market appears to be assigning significant importance to execution and guidance clarity after the Mobility separation.</w:t>
      </w:r>
    </w:p>
    <w:p>
      <w:pPr>
        <w:pStyle w:val="BodyText"/>
      </w:pPr>
      <w:r>
        <w:rPr>
          <w:b/>
          <w:bCs/>
        </w:rPr>
        <w:t xml:space="preserve">Most important number:</w:t>
      </w:r>
      <w:r>
        <w:t xml:space="preserve"> </w:t>
      </w:r>
      <w:r>
        <w:t xml:space="preserve">updated 2026 adjusted EPS from continuing operations.</w:t>
      </w:r>
      <w:r>
        <w:br/>
      </w:r>
      <w:r>
        <w:rPr>
          <w:b/>
          <w:bCs/>
        </w:rPr>
        <w:t xml:space="preserve">Most important operating KPI:</w:t>
      </w:r>
      <w:r>
        <w:t xml:space="preserve"> </w:t>
      </w:r>
      <w:r>
        <w:t xml:space="preserve">Market Intelligence subscription/ACV growth.</w:t>
      </w:r>
      <w:r>
        <w:br/>
      </w:r>
      <w:r>
        <w:rPr>
          <w:b/>
          <w:bCs/>
        </w:rPr>
        <w:t xml:space="preserve">Most likely source of upside:</w:t>
      </w:r>
      <w:r>
        <w:t xml:space="preserve"> </w:t>
      </w:r>
      <w:r>
        <w:t xml:space="preserve">Ratings.</w:t>
      </w:r>
      <w:r>
        <w:br/>
      </w:r>
      <w:r>
        <w:rPr>
          <w:b/>
          <w:bCs/>
        </w:rPr>
        <w:t xml:space="preserve">Most likely source of downside:</w:t>
      </w:r>
      <w:r>
        <w:t xml:space="preserve"> </w:t>
      </w:r>
      <w:r>
        <w:t xml:space="preserve">Energy or post-spin cost guidance.</w:t>
      </w:r>
    </w:p>
    <w:bookmarkEnd w:id="29"/>
    <w:bookmarkEnd w:id="3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5">
    <w:abstractNumId w:val="991"/>
  </w:num>
  <w:num w:numId="1016">
    <w:abstractNumId w:val="991"/>
  </w:num>
  <w:num w:numId="101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https://investor.spglobal.com/news-releases/news-details/2026/SP-Global-Schedules-Second-Quarter-2026-Earnings-Announcement-and-Conference-Call-for-Tuesday-July-28-2026/default.aspx?utm_source=openai" TargetMode="External" /><Relationship Type="http://schemas.openxmlformats.org/officeDocument/2006/relationships/hyperlink" Id="rId11" Target="https://s29.q4cdn.com/690959130/files/doc_downloads/2026/07/S-P-Global-Provides-Pro-Forma-and-Recast-Financial-Results-and-Updated-Segment-Information-Press-Release-7-6-2026.pdf?utm_source=openai" TargetMode="External" /><Relationship Type="http://schemas.openxmlformats.org/officeDocument/2006/relationships/hyperlink" Id="rId12" Target="https://stage.zacks.com/stock/quote/SPGI/detailed-earning-estimates?icid=SITE_SECTION-SUB_SECTION-quote_nav_tracking-zcom-left_subnav_quote_navbar-detailed_earning_estimates&amp;utm_source=openai" TargetMode="External" /><Relationship Type="http://schemas.openxmlformats.org/officeDocument/2006/relationships/hyperlink" Id="rId16" Target="https://www.investing.com/news/company-news/moodys-q2-2026-slides-exceptional-results-drive-margin-expansion-93CH-4806350?utm_source=openai" TargetMode="External" /><Relationship Type="http://schemas.openxmlformats.org/officeDocument/2006/relationships/hyperlink" Id="rId15" Target="https://www.sec.gov/Archives/edgar/data/64040/000006404026000019/spgi1q2026-earningsrelease.htm?utm_source=openai" TargetMode="External" /></Relationships>
</file>

<file path=word/_rels/footnotes.xml.rels><?xml version="1.0" encoding="UTF-8"?><Relationships xmlns="http://schemas.openxmlformats.org/package/2006/relationships"><Relationship Type="http://schemas.openxmlformats.org/officeDocument/2006/relationships/hyperlink" Id="rId9" Target="https://investor.spglobal.com/news-releases/news-details/2026/SP-Global-Schedules-Second-Quarter-2026-Earnings-Announcement-and-Conference-Call-for-Tuesday-July-28-2026/default.aspx?utm_source=openai" TargetMode="External" /><Relationship Type="http://schemas.openxmlformats.org/officeDocument/2006/relationships/hyperlink" Id="rId11" Target="https://s29.q4cdn.com/690959130/files/doc_downloads/2026/07/S-P-Global-Provides-Pro-Forma-and-Recast-Financial-Results-and-Updated-Segment-Information-Press-Release-7-6-2026.pdf?utm_source=openai" TargetMode="External" /><Relationship Type="http://schemas.openxmlformats.org/officeDocument/2006/relationships/hyperlink" Id="rId12" Target="https://stage.zacks.com/stock/quote/SPGI/detailed-earning-estimates?icid=SITE_SECTION-SUB_SECTION-quote_nav_tracking-zcom-left_subnav_quote_navbar-detailed_earning_estimates&amp;utm_source=openai" TargetMode="External" /><Relationship Type="http://schemas.openxmlformats.org/officeDocument/2006/relationships/hyperlink" Id="rId16" Target="https://www.investing.com/news/company-news/moodys-q2-2026-slides-exceptional-results-drive-margin-expansion-93CH-4806350?utm_source=openai" TargetMode="External" /><Relationship Type="http://schemas.openxmlformats.org/officeDocument/2006/relationships/hyperlink" Id="rId15" Target="https://www.sec.gov/Archives/edgar/data/64040/000006404026000019/spgi1q2026-earningsrelease.htm?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2026-07-28T00:14:15Z</dcterms:created>
  <dcterms:modified xsi:type="dcterms:W3CDTF">2026-07-28T00:14:15Z</dcterms:modified>
</cp:coreProperties>
</file>

<file path=docProps/custom.xml><?xml version="1.0" encoding="utf-8"?>
<Properties xmlns="http://schemas.openxmlformats.org/officeDocument/2006/custom-properties" xmlns:vt="http://schemas.openxmlformats.org/officeDocument/2006/docPropsVTypes"/>
</file>