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ef25b61a24380253b5f12002c092a4434e315b0"/>
    <w:p>
      <w:pPr>
        <w:pStyle w:val="Heading1"/>
      </w:pPr>
      <w:r>
        <w:t xml:space="preserve">S&amp;P Global (NYSE: SPGI) — 2Q26 Earnings Preview</w:t>
      </w:r>
    </w:p>
    <w:p>
      <w:pPr>
        <w:pStyle w:val="BlockText"/>
      </w:pPr>
      <w:r>
        <w:rPr>
          <w:b/>
          <w:bCs/>
        </w:rPr>
        <w:t xml:space="preserve">Date clarification:</w:t>
      </w:r>
      <w:r>
        <w:t xml:space="preserve"> </w:t>
      </w:r>
      <w:r>
        <w:t xml:space="preserve">SPGI is scheduled to report</w:t>
      </w:r>
      <w:r>
        <w:t xml:space="preserve"> </w:t>
      </w:r>
      <w:r>
        <w:rPr>
          <w:b/>
          <w:bCs/>
        </w:rPr>
        <w:t xml:space="preserve">today, Tuesday, July 28, 2026</w:t>
      </w:r>
      <w:r>
        <w:t xml:space="preserve">, with results expected around</w:t>
      </w:r>
      <w:r>
        <w:t xml:space="preserve"> </w:t>
      </w:r>
      <w:r>
        <w:rPr>
          <w:b/>
          <w:bCs/>
        </w:rPr>
        <w:t xml:space="preserve">7:15 a.m. ET</w:t>
      </w:r>
      <w:r>
        <w:t xml:space="preserve"> </w:t>
      </w:r>
      <w:r>
        <w:t xml:space="preserve">and the earnings call at</w:t>
      </w:r>
      <w:r>
        <w:t xml:space="preserve"> </w:t>
      </w:r>
      <w:r>
        <w:rPr>
          <w:b/>
          <w:bCs/>
        </w:rPr>
        <w:t xml:space="preserve">8:30 a.m. ET</w:t>
      </w:r>
      <w:r>
        <w:t xml:space="preserve">—not tomorrow. This will be a particularly consequential report because it is the first one following the completed Mobility Global spin-off.</w:t>
      </w:r>
    </w:p>
    <w:bookmarkStart w:id="9" w:name="investment-framing"/>
    <w:p>
      <w:pPr>
        <w:pStyle w:val="Heading2"/>
      </w:pPr>
      <w:r>
        <w:t xml:space="preserve">Investment framing</w:t>
      </w:r>
    </w:p>
    <w:p>
      <w:pPr>
        <w:pStyle w:val="FirstParagraph"/>
      </w:pPr>
      <w:r>
        <w:t xml:space="preserve">The central question is less about whether SPGI delivers another solid quarter and more about whether its</w:t>
      </w:r>
      <w:r>
        <w:t xml:space="preserve"> </w:t>
      </w:r>
      <w:r>
        <w:rPr>
          <w:b/>
          <w:bCs/>
        </w:rPr>
        <w:t xml:space="preserve">post-Mobility guidance and continuing-operations earnings framework</w:t>
      </w:r>
      <w:r>
        <w:t xml:space="preserve"> </w:t>
      </w:r>
      <w:r>
        <w:t xml:space="preserve">can support the premium-quality, high-margin narrative investors expect.</w:t>
      </w:r>
    </w:p>
    <w:p>
      <w:pPr>
        <w:pStyle w:val="BodyText"/>
      </w:pPr>
      <w:r>
        <w:t xml:space="preserve">The setup entering 2Q is constructive operationally:</w:t>
      </w:r>
    </w:p>
    <w:p>
      <w:pPr>
        <w:pStyle w:val="Compact"/>
        <w:numPr>
          <w:ilvl w:val="0"/>
          <w:numId w:val="1001"/>
        </w:numPr>
      </w:pPr>
      <w:r>
        <w:rPr>
          <w:b/>
          <w:bCs/>
        </w:rPr>
        <w:t xml:space="preserve">Ratings</w:t>
      </w:r>
      <w:r>
        <w:t xml:space="preserve"> </w:t>
      </w:r>
      <w:r>
        <w:t xml:space="preserve">entered the quarter with strong issuance activity, especially investment grade and AI/hyperscaler-related financing.</w:t>
      </w:r>
    </w:p>
    <w:p>
      <w:pPr>
        <w:pStyle w:val="Compact"/>
        <w:numPr>
          <w:ilvl w:val="0"/>
          <w:numId w:val="1001"/>
        </w:numPr>
      </w:pPr>
      <w:r>
        <w:rPr>
          <w:b/>
          <w:bCs/>
        </w:rPr>
        <w:t xml:space="preserve">Indices</w:t>
      </w:r>
      <w:r>
        <w:t xml:space="preserve"> </w:t>
      </w:r>
      <w:r>
        <w:t xml:space="preserve">has favorable near-term drivers from asset values and elevated derivatives volumes.</w:t>
      </w:r>
    </w:p>
    <w:p>
      <w:pPr>
        <w:pStyle w:val="Compact"/>
        <w:numPr>
          <w:ilvl w:val="0"/>
          <w:numId w:val="1001"/>
        </w:numPr>
      </w:pPr>
      <w:r>
        <w:rPr>
          <w:b/>
          <w:bCs/>
        </w:rPr>
        <w:t xml:space="preserve">Market Intelligence</w:t>
      </w:r>
      <w:r>
        <w:t xml:space="preserve"> </w:t>
      </w:r>
      <w:r>
        <w:t xml:space="preserve">was showing improving sales, renewal, and pipeline indicators, with early AI monetization evidence.</w:t>
      </w:r>
    </w:p>
    <w:p>
      <w:pPr>
        <w:pStyle w:val="Compact"/>
        <w:numPr>
          <w:ilvl w:val="0"/>
          <w:numId w:val="1001"/>
        </w:numPr>
      </w:pPr>
      <w:r>
        <w:rPr>
          <w:b/>
          <w:bCs/>
        </w:rPr>
        <w:t xml:space="preserve">Energy</w:t>
      </w:r>
      <w:r>
        <w:t xml:space="preserve"> </w:t>
      </w:r>
      <w:r>
        <w:t xml:space="preserve">is the principal swing factor: management had already cautioned that customer disruption and slower sales activity could make 2Q growth fall below its full-year target range.</w:t>
      </w:r>
    </w:p>
    <w:p>
      <w:pPr>
        <w:pStyle w:val="FirstParagraph"/>
      </w:pPr>
      <w:r>
        <w:t xml:space="preserve">But the stock is not priced as though the quarter is risk-free. SPGI closed at</w:t>
      </w:r>
      <w:r>
        <w:t xml:space="preserve"> </w:t>
      </w:r>
      <w:r>
        <w:rPr>
          <w:b/>
          <w:bCs/>
        </w:rPr>
        <w:t xml:space="preserve">$439.87 on July 27</w:t>
      </w:r>
      <w:r>
        <w:t xml:space="preserve">, down about</w:t>
      </w:r>
      <w:r>
        <w:t xml:space="preserve"> </w:t>
      </w:r>
      <w:r>
        <w:rPr>
          <w:b/>
          <w:bCs/>
        </w:rPr>
        <w:t xml:space="preserve">14% year to date</w:t>
      </w:r>
      <w:r>
        <w:t xml:space="preserve"> </w:t>
      </w:r>
      <w:r>
        <w:t xml:space="preserve">and roughly</w:t>
      </w:r>
      <w:r>
        <w:t xml:space="preserve"> </w:t>
      </w:r>
      <w:r>
        <w:rPr>
          <w:b/>
          <w:bCs/>
        </w:rPr>
        <w:t xml:space="preserve">19% below its January high</w:t>
      </w:r>
      <w:r>
        <w:t xml:space="preserve">, putting increased emphasis on the credibility of post-spin guidance, capital return, and the durability of the company’s organic growth algorithm.</w:t>
      </w:r>
    </w:p>
    <w:bookmarkEnd w:id="9"/>
    <w:bookmarkStart w:id="10" w:name="Xbd3dfce1f65627d40774be621e0aea5320810c8"/>
    <w:p>
      <w:pPr>
        <w:pStyle w:val="Heading2"/>
      </w:pPr>
      <w:r>
        <w:t xml:space="preserve">The most important event: post-spin guidance reset</w:t>
      </w:r>
    </w:p>
    <w:p>
      <w:pPr>
        <w:pStyle w:val="FirstParagraph"/>
      </w:pPr>
      <w:r>
        <w:t xml:space="preserve">Mobility Global was spun out on July 1. SPGI will still consolidate Mobility in its</w:t>
      </w:r>
      <w:r>
        <w:t xml:space="preserve"> </w:t>
      </w:r>
      <w:r>
        <w:rPr>
          <w:b/>
          <w:bCs/>
        </w:rPr>
        <w:t xml:space="preserve">GAAP 2Q26 reported results</w:t>
      </w:r>
      <w:r>
        <w:t xml:space="preserve"> </w:t>
      </w:r>
      <w:r>
        <w:t xml:space="preserve">because Mobility was owned for the full quarter; however, from 3Q onward, SPGI’s reported financials will exclude Mobility.</w:t>
      </w:r>
    </w:p>
    <w:p>
      <w:pPr>
        <w:pStyle w:val="BodyText"/>
      </w:pPr>
      <w:r>
        <w:t xml:space="preserve">Accordingly, investors should expect several potentially confusing—but important—items:</w:t>
      </w:r>
    </w:p>
    <w:p>
      <w:pPr>
        <w:numPr>
          <w:ilvl w:val="0"/>
          <w:numId w:val="1002"/>
        </w:numPr>
      </w:pPr>
      <w:r>
        <w:rPr>
          <w:b/>
          <w:bCs/>
        </w:rPr>
        <w:t xml:space="preserve">New 2026 GAAP guidance.</w:t>
      </w:r>
      <w:r>
        <w:br/>
      </w:r>
      <w:r>
        <w:t xml:space="preserve">SPGI previously withheld full GAAP guidance because the timing and accounting treatment of the Mobility separation were uncertain.</w:t>
      </w:r>
    </w:p>
    <w:p>
      <w:pPr>
        <w:numPr>
          <w:ilvl w:val="0"/>
          <w:numId w:val="1002"/>
        </w:numPr>
      </w:pPr>
      <w:r>
        <w:rPr>
          <w:b/>
          <w:bCs/>
        </w:rPr>
        <w:t xml:space="preserve">Updated adjusted guidance excluding Mobility.</w:t>
      </w:r>
      <w:r>
        <w:br/>
      </w:r>
      <w:r>
        <w:t xml:space="preserve">The prior consolidated outlook called for:</w:t>
      </w:r>
    </w:p>
    <w:p>
      <w:pPr>
        <w:pStyle w:val="Compact"/>
        <w:numPr>
          <w:ilvl w:val="1"/>
          <w:numId w:val="1003"/>
        </w:numPr>
      </w:pPr>
      <w:r>
        <w:t xml:space="preserve">Organic constant-currency revenue growth of</w:t>
      </w:r>
      <w:r>
        <w:t xml:space="preserve"> </w:t>
      </w:r>
      <w:r>
        <w:rPr>
          <w:b/>
          <w:bCs/>
        </w:rPr>
        <w:t xml:space="preserve">6%–8%</w:t>
      </w:r>
    </w:p>
    <w:p>
      <w:pPr>
        <w:pStyle w:val="Compact"/>
        <w:numPr>
          <w:ilvl w:val="1"/>
          <w:numId w:val="1003"/>
        </w:numPr>
      </w:pPr>
      <w:r>
        <w:t xml:space="preserve">Adjusted EPS of</w:t>
      </w:r>
      <w:r>
        <w:t xml:space="preserve"> </w:t>
      </w:r>
      <m:oMath>
        <m:r>
          <m:t>19.40</m:t>
        </m:r>
        <m:r>
          <m:rPr>
            <m:sty m:val="p"/>
          </m:rPr>
          <m:t>–</m:t>
        </m:r>
      </m:oMath>
      <w:r>
        <w:rPr>
          <w:b/>
          <w:bCs/>
        </w:rPr>
        <w:t xml:space="preserve">19.65</w:t>
      </w:r>
    </w:p>
    <w:p>
      <w:pPr>
        <w:pStyle w:val="Compact"/>
        <w:numPr>
          <w:ilvl w:val="1"/>
          <w:numId w:val="1003"/>
        </w:numPr>
      </w:pPr>
      <w:r>
        <w:rPr>
          <w:b/>
          <w:bCs/>
        </w:rPr>
        <w:t xml:space="preserve">50–75 bps</w:t>
      </w:r>
      <w:r>
        <w:t xml:space="preserve"> </w:t>
      </w:r>
      <w:r>
        <w:t xml:space="preserve">of adjusted operating-margin expansion excluding OSTTRA</w:t>
      </w:r>
    </w:p>
    <w:p>
      <w:pPr>
        <w:numPr>
          <w:ilvl w:val="0"/>
          <w:numId w:val="1000"/>
        </w:numPr>
      </w:pPr>
      <w:r>
        <w:t xml:space="preserve">Those numbers included Mobility for the full year and therefore are no longer the clean earnings base for the remaining company.</w:t>
      </w:r>
    </w:p>
    <w:p>
      <w:pPr>
        <w:numPr>
          <w:ilvl w:val="0"/>
          <w:numId w:val="1002"/>
        </w:numPr>
      </w:pPr>
      <w:r>
        <w:rPr>
          <w:b/>
          <w:bCs/>
        </w:rPr>
        <w:t xml:space="preserve">A new four-segment reporting framework.</w:t>
      </w:r>
      <w:r>
        <w:br/>
      </w:r>
      <w:r>
        <w:t xml:space="preserve">Continuing SPGI now consists of Ratings, Indices, Energy, and Market Intelligence. Investors should focus on post-spin continuing-operations EPS—not mechanically compare headline 2Q GAAP EPS with prior consensus-style figures that may use a different Mobility treatment.</w:t>
      </w:r>
    </w:p>
    <w:p>
      <w:pPr>
        <w:numPr>
          <w:ilvl w:val="0"/>
          <w:numId w:val="1002"/>
        </w:numPr>
      </w:pPr>
      <w:r>
        <w:rPr>
          <w:b/>
          <w:bCs/>
        </w:rPr>
        <w:t xml:space="preserve">Stranded-cost and TSA disclosure.</w:t>
      </w:r>
      <w:r>
        <w:br/>
      </w:r>
      <w:r>
        <w:t xml:space="preserve">Management previously said stranded Mobility costs should be largely offset at the enterprise level by income under a transition-services agreement, but the cost allocations will affect individual segment margins. The cleanest read-through is enterprise margin and cash-flow impact rather than any single segment’s reported margin.</w:t>
      </w:r>
    </w:p>
    <w:bookmarkEnd w:id="10"/>
    <w:bookmarkStart w:id="11" w:name="Xd6b97685255448571e1cf8c19dfc84914f0cb85"/>
    <w:p>
      <w:pPr>
        <w:pStyle w:val="Heading2"/>
      </w:pPr>
      <w:r>
        <w:t xml:space="preserve">Baseline: 1Q continuing-operations performance was strong</w:t>
      </w:r>
    </w:p>
    <w:p>
      <w:pPr>
        <w:pStyle w:val="FirstParagraph"/>
      </w:pPr>
      <w:r>
        <w:t xml:space="preserve">On the newly recast, post-Mobility basis, SPGI’s 1Q26 revenue was</w:t>
      </w:r>
      <w:r>
        <w:t xml:space="preserve"> </w:t>
      </w:r>
      <m:oMath>
        <m:r>
          <m:t>3.717</m:t>
        </m:r>
        <m:r>
          <m:t>b</m:t>
        </m:r>
        <m:r>
          <m:t>i</m:t>
        </m:r>
        <m:r>
          <m:t>l</m:t>
        </m:r>
        <m:r>
          <m:t>l</m:t>
        </m:r>
        <m:r>
          <m:t>i</m:t>
        </m:r>
        <m:r>
          <m:t>o</m:t>
        </m:r>
        <m:r>
          <m:t>n</m:t>
        </m:r>
        <m:r>
          <m:rPr>
            <m:sty m:val="p"/>
          </m:rPr>
          <m:t>*</m:t>
        </m:r>
        <m:r>
          <m:rPr>
            <m:sty m:val="p"/>
          </m:rPr>
          <m:t>*</m:t>
        </m:r>
        <m:r>
          <m:rPr>
            <m:sty m:val="p"/>
          </m:rPr>
          <m:t>,</m:t>
        </m:r>
        <m:r>
          <m:t>u</m:t>
        </m:r>
        <m:r>
          <m:t>p</m:t>
        </m:r>
        <m:r>
          <m:rPr>
            <m:sty m:val="p"/>
          </m:rPr>
          <m:t>*</m:t>
        </m:r>
        <m:r>
          <m:rPr>
            <m:sty m:val="p"/>
          </m:rPr>
          <m:t>*</m:t>
        </m:r>
        <m:r>
          <m:t>10.7</m:t>
        </m:r>
      </m:oMath>
      <w:r>
        <w:rPr>
          <w:b/>
          <w:bCs/>
        </w:rPr>
        <w:t xml:space="preserve">1.967 billion</w:t>
      </w:r>
      <w:r>
        <w:t xml:space="preserve">, up</w:t>
      </w:r>
      <w:r>
        <w:t xml:space="preserve"> </w:t>
      </w:r>
      <w:r>
        <w:rPr>
          <w:b/>
          <w:bCs/>
        </w:rPr>
        <w:t xml:space="preserve">12.9%</w:t>
      </w:r>
      <w:r>
        <w:t xml:space="preserve">; and adjusted diluted EPS from continuing operations was</w:t>
      </w:r>
      <w:r>
        <w:t xml:space="preserve"> </w:t>
      </w:r>
      <w:r>
        <w:rPr>
          <w:b/>
          <w:bCs/>
        </w:rPr>
        <w:t xml:space="preserve">$4.44</w:t>
      </w:r>
      <w:r>
        <w:t xml:space="preserve">, up</w:t>
      </w:r>
      <w:r>
        <w:t xml:space="preserve"> </w:t>
      </w:r>
      <w:r>
        <w:rPr>
          <w:b/>
          <w:bCs/>
        </w:rPr>
        <w:t xml:space="preserve">13.8%</w:t>
      </w:r>
      <w:r>
        <w:t xml:space="preserve">.</w:t>
      </w:r>
    </w:p>
    <w:p>
      <w:pPr>
        <w:pStyle w:val="BodyText"/>
      </w:pPr>
      <w:r>
        <w:t xml:space="preserve">That result provides a favorable starting point, but it also raises the bar for the 2Q outlook, particularly because management had indicated that Ratings growth would stay strong but not accelerate and that Energy would be the softest division in the quarter.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Continuing SPGI segment</w:t>
            </w:r>
          </w:p>
        </w:tc>
        <w:tc>
          <w:tcPr/>
          <w:p>
            <w:pPr>
              <w:pStyle w:val="Compact"/>
              <w:jc w:val="right"/>
            </w:pPr>
            <w:r>
              <w:t xml:space="preserve">1Q26 recast revenue</w:t>
            </w:r>
          </w:p>
        </w:tc>
        <w:tc>
          <w:tcPr/>
          <w:p>
            <w:pPr>
              <w:pStyle w:val="Compact"/>
              <w:jc w:val="right"/>
            </w:pPr>
            <w:r>
              <w:t xml:space="preserve">YoY growth</w:t>
            </w:r>
          </w:p>
        </w:tc>
        <w:tc>
          <w:tcPr/>
          <w:p>
            <w:pPr>
              <w:pStyle w:val="Compact"/>
            </w:pPr>
            <w:r>
              <w:t xml:space="preserve">Key 2Q issue</w:t>
            </w:r>
          </w:p>
        </w:tc>
      </w:tr>
      <w:tr>
        <w:tc>
          <w:tcPr/>
          <w:p>
            <w:pPr>
              <w:pStyle w:val="Compact"/>
            </w:pPr>
            <w:r>
              <w:t xml:space="preserve">Ratings</w:t>
            </w:r>
          </w:p>
        </w:tc>
        <w:tc>
          <w:tcPr/>
          <w:p>
            <w:pPr>
              <w:pStyle w:val="Compact"/>
              <w:jc w:val="right"/>
            </w:pPr>
            <w:r>
              <w:t xml:space="preserve">$1.302B</w:t>
            </w:r>
          </w:p>
        </w:tc>
        <w:tc>
          <w:tcPr/>
          <w:p>
            <w:pPr>
              <w:pStyle w:val="Compact"/>
              <w:jc w:val="right"/>
            </w:pPr>
            <w:r>
              <w:t xml:space="preserve">13%</w:t>
            </w:r>
          </w:p>
        </w:tc>
        <w:tc>
          <w:tcPr/>
          <w:p>
            <w:pPr>
              <w:pStyle w:val="Compact"/>
            </w:pPr>
            <w:r>
              <w:t xml:space="preserve">Durability of issuance after strong 1Q pull-forward</w:t>
            </w:r>
          </w:p>
        </w:tc>
      </w:tr>
      <w:tr>
        <w:tc>
          <w:tcPr/>
          <w:p>
            <w:pPr>
              <w:pStyle w:val="Compact"/>
            </w:pPr>
            <w:r>
              <w:t xml:space="preserve">Indices</w:t>
            </w:r>
          </w:p>
        </w:tc>
        <w:tc>
          <w:tcPr/>
          <w:p>
            <w:pPr>
              <w:pStyle w:val="Compact"/>
              <w:jc w:val="right"/>
            </w:pPr>
            <w:r>
              <w:t xml:space="preserve">$519M</w:t>
            </w:r>
          </w:p>
        </w:tc>
        <w:tc>
          <w:tcPr/>
          <w:p>
            <w:pPr>
              <w:pStyle w:val="Compact"/>
              <w:jc w:val="right"/>
            </w:pPr>
            <w:r>
              <w:t xml:space="preserve">17%</w:t>
            </w:r>
          </w:p>
        </w:tc>
        <w:tc>
          <w:tcPr/>
          <w:p>
            <w:pPr>
              <w:pStyle w:val="Compact"/>
            </w:pPr>
            <w:r>
              <w:t xml:space="preserve">Asset-linked fee base, ETF flows, and derivatives volumes</w:t>
            </w:r>
          </w:p>
        </w:tc>
      </w:tr>
      <w:tr>
        <w:tc>
          <w:tcPr/>
          <w:p>
            <w:pPr>
              <w:pStyle w:val="Compact"/>
            </w:pPr>
            <w:r>
              <w:t xml:space="preserve">Energy</w:t>
            </w:r>
          </w:p>
        </w:tc>
        <w:tc>
          <w:tcPr/>
          <w:p>
            <w:pPr>
              <w:pStyle w:val="Compact"/>
              <w:jc w:val="right"/>
            </w:pPr>
            <w:r>
              <w:t xml:space="preserve">$724M</w:t>
            </w:r>
          </w:p>
        </w:tc>
        <w:tc>
          <w:tcPr/>
          <w:p>
            <w:pPr>
              <w:pStyle w:val="Compact"/>
              <w:jc w:val="right"/>
            </w:pPr>
            <w:r>
              <w:t xml:space="preserve">6%</w:t>
            </w:r>
          </w:p>
        </w:tc>
        <w:tc>
          <w:tcPr/>
          <w:p>
            <w:pPr>
              <w:pStyle w:val="Compact"/>
            </w:pPr>
            <w:r>
              <w:t xml:space="preserve">Customer disruption, subscription sales pipeline, CERA recovery</w:t>
            </w:r>
          </w:p>
        </w:tc>
      </w:tr>
      <w:tr>
        <w:tc>
          <w:tcPr/>
          <w:p>
            <w:pPr>
              <w:pStyle w:val="Compact"/>
            </w:pPr>
            <w:r>
              <w:t xml:space="preserve">Market Intelligence</w:t>
            </w:r>
          </w:p>
        </w:tc>
        <w:tc>
          <w:tcPr/>
          <w:p>
            <w:pPr>
              <w:pStyle w:val="Compact"/>
              <w:jc w:val="right"/>
            </w:pPr>
            <w:r>
              <w:t xml:space="preserve">$1.224B</w:t>
            </w:r>
          </w:p>
        </w:tc>
        <w:tc>
          <w:tcPr/>
          <w:p>
            <w:pPr>
              <w:pStyle w:val="Compact"/>
              <w:jc w:val="right"/>
            </w:pPr>
            <w:r>
              <w:t xml:space="preserve">8%</w:t>
            </w:r>
          </w:p>
        </w:tc>
        <w:tc>
          <w:tcPr/>
          <w:p>
            <w:pPr>
              <w:pStyle w:val="Compact"/>
            </w:pPr>
            <w:r>
              <w:t xml:space="preserve">Subscription acceleration, AI monetization, margin conversion</w:t>
            </w:r>
          </w:p>
        </w:tc>
      </w:tr>
    </w:tbl>
    <w:p>
      <w:pPr>
        <w:pStyle w:val="BodyText"/>
      </w:pPr>
      <w:r>
        <w:t xml:space="preserve">The revised reporting basis makes Energy look larger than in prior disclosures because 451 Research and Maritime &amp; Trade moved from Market Intelligence into Energy. That reclassification matters when assessing segment growth; investors should compare against the recast figures, not legacy segment history.</w:t>
      </w:r>
    </w:p>
    <w:bookmarkEnd w:id="11"/>
    <w:bookmarkStart w:id="16" w:name="what-to-watch-by-business"/>
    <w:p>
      <w:pPr>
        <w:pStyle w:val="Heading2"/>
      </w:pPr>
      <w:r>
        <w:t xml:space="preserve">What to watch by business</w:t>
      </w:r>
    </w:p>
    <w:bookmarkStart w:id="12" w:name="X32eca3177a3f3720ef530c84c0e6ad65bcc2b7c"/>
    <w:p>
      <w:pPr>
        <w:pStyle w:val="Heading3"/>
      </w:pPr>
      <w:r>
        <w:t xml:space="preserve">1. Ratings: issuance resilience versus a tougher second-half setup</w:t>
      </w:r>
    </w:p>
    <w:p>
      <w:pPr>
        <w:pStyle w:val="FirstParagraph"/>
      </w:pPr>
      <w:r>
        <w:t xml:space="preserve">Ratings is SPGI’s largest profit contributor and the clearest near-term earnings driver. In 1Q, revenue increased 13%, with transactional revenue up 15%, aided by investment-grade issuance, hyperscaler debt financing, and M&amp;A-related activity. Private-markets revenue also grew more than 25%.</w:t>
      </w:r>
    </w:p>
    <w:p>
      <w:pPr>
        <w:pStyle w:val="BodyText"/>
      </w:pPr>
      <w:r>
        <w:t xml:space="preserve">The key issue for 2Q is</w:t>
      </w:r>
      <w:r>
        <w:t xml:space="preserve"> </w:t>
      </w:r>
      <w:r>
        <w:rPr>
          <w:b/>
          <w:bCs/>
        </w:rPr>
        <w:t xml:space="preserve">quality and sustainability of issuance</w:t>
      </w:r>
      <w:r>
        <w:t xml:space="preserve">, rather than simply the reported growth rate:</w:t>
      </w:r>
    </w:p>
    <w:p>
      <w:pPr>
        <w:pStyle w:val="Compact"/>
        <w:numPr>
          <w:ilvl w:val="0"/>
          <w:numId w:val="1004"/>
        </w:numPr>
      </w:pPr>
      <w:r>
        <w:t xml:space="preserve">Was investment-grade issuance still elevated, particularly from AI infrastructure and hyperscaler capex?</w:t>
      </w:r>
    </w:p>
    <w:p>
      <w:pPr>
        <w:pStyle w:val="Compact"/>
        <w:numPr>
          <w:ilvl w:val="0"/>
          <w:numId w:val="1004"/>
        </w:numPr>
      </w:pPr>
      <w:r>
        <w:t xml:space="preserve">How did high-yield, bank loans, structured finance, and financial-services issuance perform?</w:t>
      </w:r>
    </w:p>
    <w:p>
      <w:pPr>
        <w:pStyle w:val="Compact"/>
        <w:numPr>
          <w:ilvl w:val="0"/>
          <w:numId w:val="1004"/>
        </w:numPr>
      </w:pPr>
      <w:r>
        <w:t xml:space="preserve">Did management’s expectation for strong-but-not-accelerating 2Q Ratings growth prove conservative?</w:t>
      </w:r>
    </w:p>
    <w:p>
      <w:pPr>
        <w:pStyle w:val="Compact"/>
        <w:numPr>
          <w:ilvl w:val="0"/>
          <w:numId w:val="1004"/>
        </w:numPr>
      </w:pPr>
      <w:r>
        <w:t xml:space="preserve">Is there any change to the expectation for moderation in 3Q and potentially negative growth in 4Q due to very difficult comparisons?</w:t>
      </w:r>
    </w:p>
    <w:p>
      <w:pPr>
        <w:pStyle w:val="FirstParagraph"/>
      </w:pPr>
      <w:r>
        <w:rPr>
          <w:b/>
          <w:bCs/>
        </w:rPr>
        <w:t xml:space="preserve">Bullish read:</w:t>
      </w:r>
      <w:r>
        <w:t xml:space="preserve"> </w:t>
      </w:r>
      <w:r>
        <w:t xml:space="preserve">Strong broad-based issuance, resilient private credit, and no reduction to the full-year Ratings outlook.</w:t>
      </w:r>
      <w:r>
        <w:br/>
      </w:r>
      <w:r>
        <w:rPr>
          <w:b/>
          <w:bCs/>
        </w:rPr>
        <w:t xml:space="preserve">Bearish read:</w:t>
      </w:r>
      <w:r>
        <w:t xml:space="preserve"> </w:t>
      </w:r>
      <w:r>
        <w:t xml:space="preserve">Evidence that 1Q issuance was materially pulled forward, weaker bank loans/high yield, or guidance that confirms a sharper-than-expected deceleration after 2Q.</w:t>
      </w:r>
    </w:p>
    <w:bookmarkEnd w:id="12"/>
    <w:bookmarkStart w:id="13" w:name="Xb073fd3ab80d61e97c41dc577daf556fae527ca"/>
    <w:p>
      <w:pPr>
        <w:pStyle w:val="Heading3"/>
      </w:pPr>
      <w:r>
        <w:t xml:space="preserve">2. Indices: the highest-margin segment remains a near-term tailwind</w:t>
      </w:r>
    </w:p>
    <w:p>
      <w:pPr>
        <w:pStyle w:val="FirstParagraph"/>
      </w:pPr>
      <w:r>
        <w:t xml:space="preserve">Indices delivered 17% revenue growth in 1Q, including 18% growth in both asset-linked fees and exchange-traded derivatives. Its adjusted operating margin was nearly 74% before the reporting recast, underscoring the operating leverage available when markets and product flows cooperate.</w:t>
      </w:r>
    </w:p>
    <w:p>
      <w:pPr>
        <w:pStyle w:val="BodyText"/>
      </w:pPr>
      <w:r>
        <w:t xml:space="preserve">For 2Q, the main variables are:</w:t>
      </w:r>
    </w:p>
    <w:p>
      <w:pPr>
        <w:pStyle w:val="Compact"/>
        <w:numPr>
          <w:ilvl w:val="0"/>
          <w:numId w:val="1005"/>
        </w:numPr>
      </w:pPr>
      <w:r>
        <w:t xml:space="preserve">Average equity-market levels relevant to asset-linked fees;</w:t>
      </w:r>
    </w:p>
    <w:p>
      <w:pPr>
        <w:pStyle w:val="Compact"/>
        <w:numPr>
          <w:ilvl w:val="0"/>
          <w:numId w:val="1005"/>
        </w:numPr>
      </w:pPr>
      <w:r>
        <w:t xml:space="preserve">Net flows into indexed products, especially S&amp;P 500-linked ETFs;</w:t>
      </w:r>
    </w:p>
    <w:p>
      <w:pPr>
        <w:pStyle w:val="Compact"/>
        <w:numPr>
          <w:ilvl w:val="0"/>
          <w:numId w:val="1005"/>
        </w:numPr>
      </w:pPr>
      <w:r>
        <w:t xml:space="preserve">SPX and related derivatives activity;</w:t>
      </w:r>
    </w:p>
    <w:p>
      <w:pPr>
        <w:pStyle w:val="Compact"/>
        <w:numPr>
          <w:ilvl w:val="0"/>
          <w:numId w:val="1005"/>
        </w:numPr>
      </w:pPr>
      <w:r>
        <w:t xml:space="preserve">Revenue mix: elevated volatility can boost derivatives activity but can also shift flows toward lower-fee benchmark products.</w:t>
      </w:r>
    </w:p>
    <w:p>
      <w:pPr>
        <w:pStyle w:val="FirstParagraph"/>
      </w:pPr>
      <w:r>
        <w:t xml:space="preserve">Management previously expected robust 2Q growth, followed by deceleration in the back half due to more difficult comparisons. Thus, investors are likely to reward a robust 2Q print but focus more on whether the company’s second-half framing remains intact.</w:t>
      </w:r>
    </w:p>
    <w:bookmarkEnd w:id="13"/>
    <w:bookmarkStart w:id="14" w:name="X1735268178f7810630f0c7ff543262eacdb5930"/>
    <w:p>
      <w:pPr>
        <w:pStyle w:val="Heading3"/>
      </w:pPr>
      <w:r>
        <w:t xml:space="preserve">3. Market Intelligence: the long-duration growth and AI proof point</w:t>
      </w:r>
    </w:p>
    <w:p>
      <w:pPr>
        <w:pStyle w:val="FirstParagraph"/>
      </w:pPr>
      <w:r>
        <w:t xml:space="preserve">Market Intelligence is the key strategic growth asset. In 1Q, recurring subscription revenue growth was 6%, with management pointing to improving net renewal rates, larger average deal sizes, higher net sales, and a building pipeline. Recast 1Q revenue was</w:t>
      </w:r>
      <w:r>
        <w:t xml:space="preserve"> </w:t>
      </w:r>
      <w:r>
        <w:rPr>
          <w:b/>
          <w:bCs/>
        </w:rPr>
        <w:t xml:space="preserve">$1.224 billion</w:t>
      </w:r>
      <w:r>
        <w:t xml:space="preserve">, an 8% increase from the prior year.</w:t>
      </w:r>
    </w:p>
    <w:p>
      <w:pPr>
        <w:pStyle w:val="BodyText"/>
      </w:pPr>
      <w:r>
        <w:t xml:space="preserve">The most important 2Q indicators:</w:t>
      </w:r>
    </w:p>
    <w:p>
      <w:pPr>
        <w:pStyle w:val="Compact"/>
        <w:numPr>
          <w:ilvl w:val="0"/>
          <w:numId w:val="1006"/>
        </w:numPr>
      </w:pPr>
      <w:r>
        <w:rPr>
          <w:b/>
          <w:bCs/>
        </w:rPr>
        <w:t xml:space="preserve">Subscription growth:</w:t>
      </w:r>
      <w:r>
        <w:t xml:space="preserve"> </w:t>
      </w:r>
      <w:r>
        <w:t xml:space="preserve">Management expected acceleration from the 1Q run rate as revenue-recognition timing headwinds reverse and commercial momentum improves.</w:t>
      </w:r>
    </w:p>
    <w:p>
      <w:pPr>
        <w:pStyle w:val="Compact"/>
        <w:numPr>
          <w:ilvl w:val="0"/>
          <w:numId w:val="1006"/>
        </w:numPr>
      </w:pPr>
      <w:r>
        <w:rPr>
          <w:b/>
          <w:bCs/>
        </w:rPr>
        <w:t xml:space="preserve">ACV and retention:</w:t>
      </w:r>
      <w:r>
        <w:t xml:space="preserve"> </w:t>
      </w:r>
      <w:r>
        <w:t xml:space="preserve">These are better leading indicators than quarterly revenue alone.</w:t>
      </w:r>
    </w:p>
    <w:p>
      <w:pPr>
        <w:pStyle w:val="Compact"/>
        <w:numPr>
          <w:ilvl w:val="0"/>
          <w:numId w:val="1006"/>
        </w:numPr>
      </w:pPr>
      <w:r>
        <w:rPr>
          <w:b/>
          <w:bCs/>
        </w:rPr>
        <w:t xml:space="preserve">Kensho Data &amp; Platforms:</w:t>
      </w:r>
      <w:r>
        <w:t xml:space="preserve"> </w:t>
      </w:r>
      <w:r>
        <w:t xml:space="preserve">This newly reported business line combines data, platforms, and AI delivery assets such as Capital IQ, RatingsDirect, Visible Alpha, With Intelligence, and Kensho LLM-ready APIs.</w:t>
      </w:r>
    </w:p>
    <w:p>
      <w:pPr>
        <w:pStyle w:val="Compact"/>
        <w:numPr>
          <w:ilvl w:val="0"/>
          <w:numId w:val="1006"/>
        </w:numPr>
      </w:pPr>
      <w:r>
        <w:rPr>
          <w:b/>
          <w:bCs/>
        </w:rPr>
        <w:t xml:space="preserve">AI monetization:</w:t>
      </w:r>
      <w:r>
        <w:t xml:space="preserve"> </w:t>
      </w:r>
      <w:r>
        <w:t xml:space="preserve">SPGI has described higher growth and retention among AI-enabled customers, as well as meaningful price increases for clients seeking AI-ready data access. Investors will want concrete evidence that this is moving from encouraging anecdotes to material revenue contribution.</w:t>
      </w:r>
    </w:p>
    <w:p>
      <w:pPr>
        <w:pStyle w:val="Compact"/>
        <w:numPr>
          <w:ilvl w:val="0"/>
          <w:numId w:val="1006"/>
        </w:numPr>
      </w:pPr>
      <w:r>
        <w:rPr>
          <w:b/>
          <w:bCs/>
        </w:rPr>
        <w:t xml:space="preserve">Margins:</w:t>
      </w:r>
      <w:r>
        <w:t xml:space="preserve"> </w:t>
      </w:r>
      <w:r>
        <w:t xml:space="preserve">AI-enabled productivity and cost discipline create upside, but management has also stressed that the larger AI efficiency opportunity is more likely a 2027–2028 story than a major 2026 earnings driver.</w:t>
      </w:r>
    </w:p>
    <w:p>
      <w:pPr>
        <w:pStyle w:val="FirstParagraph"/>
      </w:pPr>
      <w:r>
        <w:t xml:space="preserve">A strong result would be a clear acceleration in subscription/ACV trends without sacrificing the division’s margin-expansion trajectory.</w:t>
      </w:r>
    </w:p>
    <w:bookmarkEnd w:id="14"/>
    <w:bookmarkStart w:id="15" w:name="X81b749fde0e077be601c598e914b1c4a805430c"/>
    <w:p>
      <w:pPr>
        <w:pStyle w:val="Heading3"/>
      </w:pPr>
      <w:r>
        <w:t xml:space="preserve">4. Energy: likely the quarter’s pressure point</w:t>
      </w:r>
    </w:p>
    <w:p>
      <w:pPr>
        <w:pStyle w:val="FirstParagraph"/>
      </w:pPr>
      <w:r>
        <w:t xml:space="preserve">Energy is the area where expectations are most cautious. Management previously said geopolitical disruption and energy-market uncertainty were weighing on client decision-making and had already pressured the near-term sales pipeline. It explicitly expected 2Q revenue growth to fall</w:t>
      </w:r>
      <w:r>
        <w:t xml:space="preserve"> </w:t>
      </w:r>
      <w:r>
        <w:rPr>
          <w:b/>
          <w:bCs/>
        </w:rPr>
        <w:t xml:space="preserve">slightly below</w:t>
      </w:r>
      <w:r>
        <w:t xml:space="preserve"> </w:t>
      </w:r>
      <w:r>
        <w:t xml:space="preserve">the division’s then-full-year 4.5%–6% organic constant-currency growth outlook.</w:t>
      </w:r>
    </w:p>
    <w:p>
      <w:pPr>
        <w:pStyle w:val="BodyText"/>
      </w:pPr>
      <w:r>
        <w:t xml:space="preserve">There are two distinct pieces to monitor:</w:t>
      </w:r>
    </w:p>
    <w:p>
      <w:pPr>
        <w:pStyle w:val="Compact"/>
        <w:numPr>
          <w:ilvl w:val="0"/>
          <w:numId w:val="1007"/>
        </w:numPr>
      </w:pPr>
      <w:r>
        <w:rPr>
          <w:b/>
          <w:bCs/>
        </w:rPr>
        <w:t xml:space="preserve">Platts:</w:t>
      </w:r>
      <w:r>
        <w:t xml:space="preserve"> </w:t>
      </w:r>
      <w:r>
        <w:t xml:space="preserve">Benchmark prices, forward curves, Global Trading Services, and associated data products should benefit from market volatility and trading activity.</w:t>
      </w:r>
    </w:p>
    <w:p>
      <w:pPr>
        <w:pStyle w:val="Compact"/>
        <w:numPr>
          <w:ilvl w:val="0"/>
          <w:numId w:val="1007"/>
        </w:numPr>
      </w:pPr>
      <w:r>
        <w:rPr>
          <w:b/>
          <w:bCs/>
        </w:rPr>
        <w:t xml:space="preserve">CERA:</w:t>
      </w:r>
      <w:r>
        <w:t xml:space="preserve"> </w:t>
      </w:r>
      <w:r>
        <w:t xml:space="preserve">Proprietary data, research, Upstream, and events. The critical questions are the pace of the CERA Titan rollout, sales traction following the CERAWeek launch, and whether the business can return to sustained growth after the Upstream reset.</w:t>
      </w:r>
    </w:p>
    <w:p>
      <w:pPr>
        <w:pStyle w:val="FirstParagraph"/>
      </w:pPr>
      <w:r>
        <w:t xml:space="preserve">The Energy segment reported $724 million in recast 1Q revenue, up about 6.5% year over year.</w:t>
      </w:r>
    </w:p>
    <w:p>
      <w:pPr>
        <w:pStyle w:val="BodyText"/>
      </w:pPr>
      <w:r>
        <w:rPr>
          <w:b/>
          <w:bCs/>
        </w:rPr>
        <w:t xml:space="preserve">Interpretation:</w:t>
      </w:r>
      <w:r>
        <w:t xml:space="preserve"> </w:t>
      </w:r>
      <w:r>
        <w:t xml:space="preserve">A soft 2Q Energy print by itself should not be surprising. What matters more is whether management still expects a second-half recovery, and whether it identifies a problem limited to timing/customer disruption or a broader deterioration in recurring subscription demand.</w:t>
      </w:r>
    </w:p>
    <w:bookmarkEnd w:id="15"/>
    <w:bookmarkEnd w:id="16"/>
    <w:bookmarkStart w:id="17" w:name="X459eb2aa65ce6644f1b89defb3625bfd8ddfa5c"/>
    <w:p>
      <w:pPr>
        <w:pStyle w:val="Heading2"/>
      </w:pPr>
      <w:r>
        <w:t xml:space="preserve">Capital allocation and balance sheet: an underappreciated catalyst</w:t>
      </w:r>
    </w:p>
    <w:p>
      <w:pPr>
        <w:pStyle w:val="FirstParagraph"/>
      </w:pPr>
      <w:r>
        <w:t xml:space="preserve">Prior to the spin, management planned to return at least</w:t>
      </w:r>
      <w:r>
        <w:t xml:space="preserve"> </w:t>
      </w:r>
      <w:r>
        <w:rPr>
          <w:b/>
          <w:bCs/>
        </w:rPr>
        <w:t xml:space="preserve">100% of adjusted free cash flow</w:t>
      </w:r>
      <w:r>
        <w:t xml:space="preserve"> </w:t>
      </w:r>
      <w:r>
        <w:t xml:space="preserve">to shareholders in 2026, or roughly</w:t>
      </w:r>
      <w:r>
        <w:t xml:space="preserve"> </w:t>
      </w:r>
      <m:oMath>
        <m:r>
          <m:t>4.5</m:t>
        </m:r>
        <m:r>
          <m:t>b</m:t>
        </m:r>
        <m:r>
          <m:t>i</m:t>
        </m:r>
        <m:r>
          <m:t>l</m:t>
        </m:r>
        <m:r>
          <m:t>l</m:t>
        </m:r>
        <m:r>
          <m:t>i</m:t>
        </m:r>
        <m:r>
          <m:t>o</m:t>
        </m:r>
        <m:r>
          <m:t>n</m:t>
        </m:r>
        <m:r>
          <m:rPr>
            <m:sty m:val="p"/>
          </m:rPr>
          <m:t>*</m:t>
        </m:r>
        <m:r>
          <m:rPr>
            <m:sty m:val="p"/>
          </m:rPr>
          <m:t>*</m:t>
        </m:r>
        <m:r>
          <m:rPr>
            <m:sty m:val="p"/>
          </m:rPr>
          <m:t>,</m:t>
        </m:r>
        <m:r>
          <m:t>t</m:t>
        </m:r>
        <m:r>
          <m:t>h</m:t>
        </m:r>
        <m:r>
          <m:t>r</m:t>
        </m:r>
        <m:r>
          <m:t>o</m:t>
        </m:r>
        <m:r>
          <m:t>u</m:t>
        </m:r>
        <m:r>
          <m:t>g</m:t>
        </m:r>
        <m:r>
          <m:t>h</m:t>
        </m:r>
        <m:r>
          <m:t>d</m:t>
        </m:r>
        <m:r>
          <m:t>i</m:t>
        </m:r>
        <m:r>
          <m:t>v</m:t>
        </m:r>
        <m:r>
          <m:t>i</m:t>
        </m:r>
        <m:r>
          <m:t>d</m:t>
        </m:r>
        <m:r>
          <m:t>e</m:t>
        </m:r>
        <m:r>
          <m:t>n</m:t>
        </m:r>
        <m:r>
          <m:t>d</m:t>
        </m:r>
        <m:r>
          <m:t>s</m:t>
        </m:r>
        <m:r>
          <m:t>a</m:t>
        </m:r>
        <m:r>
          <m:t>n</m:t>
        </m:r>
        <m:r>
          <m:t>d</m:t>
        </m:r>
        <m:r>
          <m:t>b</m:t>
        </m:r>
        <m:r>
          <m:t>u</m:t>
        </m:r>
        <m:r>
          <m:t>y</m:t>
        </m:r>
        <m:r>
          <m:t>b</m:t>
        </m:r>
        <m:r>
          <m:t>a</m:t>
        </m:r>
        <m:r>
          <m:t>c</m:t>
        </m:r>
        <m:r>
          <m:t>k</m:t>
        </m:r>
        <m:r>
          <m:t>s</m:t>
        </m:r>
        <m:r>
          <m:rPr>
            <m:sty m:val="p"/>
          </m:rPr>
          <m:t>.</m:t>
        </m:r>
        <m:r>
          <m:t>I</m:t>
        </m:r>
        <m:r>
          <m:t>t</m:t>
        </m:r>
        <m:r>
          <m:t>a</m:t>
        </m:r>
        <m:r>
          <m:t>l</m:t>
        </m:r>
        <m:r>
          <m:t>s</m:t>
        </m:r>
        <m:r>
          <m:t>o</m:t>
        </m:r>
        <m:r>
          <m:t>a</m:t>
        </m:r>
        <m:r>
          <m:t>n</m:t>
        </m:r>
        <m:r>
          <m:t>t</m:t>
        </m:r>
        <m:r>
          <m:t>i</m:t>
        </m:r>
        <m:r>
          <m:t>c</m:t>
        </m:r>
        <m:r>
          <m:t>i</m:t>
        </m:r>
        <m:r>
          <m:t>p</m:t>
        </m:r>
        <m:r>
          <m:t>a</m:t>
        </m:r>
        <m:r>
          <m:t>t</m:t>
        </m:r>
        <m:r>
          <m:t>e</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2 billion of Mobility debt issuance</w:t>
      </w:r>
      <w:r>
        <w:t xml:space="preserve">, with proceeds paid to SPGI and allocated between incremental repurchases and debt reduction.</w:t>
      </w:r>
    </w:p>
    <w:p>
      <w:pPr>
        <w:pStyle w:val="BodyText"/>
      </w:pPr>
      <w:r>
        <w:t xml:space="preserve">The 2Q update should clarify:</w:t>
      </w:r>
    </w:p>
    <w:p>
      <w:pPr>
        <w:pStyle w:val="Compact"/>
        <w:numPr>
          <w:ilvl w:val="0"/>
          <w:numId w:val="1008"/>
        </w:numPr>
      </w:pPr>
      <w:r>
        <w:t xml:space="preserve">Actual cash received from Mobility;</w:t>
      </w:r>
    </w:p>
    <w:p>
      <w:pPr>
        <w:pStyle w:val="Compact"/>
        <w:numPr>
          <w:ilvl w:val="0"/>
          <w:numId w:val="1008"/>
        </w:numPr>
      </w:pPr>
      <w:r>
        <w:t xml:space="preserve">Debt reduction versus buyback allocation;</w:t>
      </w:r>
    </w:p>
    <w:p>
      <w:pPr>
        <w:pStyle w:val="Compact"/>
        <w:numPr>
          <w:ilvl w:val="0"/>
          <w:numId w:val="1008"/>
        </w:numPr>
      </w:pPr>
      <w:r>
        <w:t xml:space="preserve">Expected full-year repurchases after the separation;</w:t>
      </w:r>
    </w:p>
    <w:p>
      <w:pPr>
        <w:pStyle w:val="Compact"/>
        <w:numPr>
          <w:ilvl w:val="0"/>
          <w:numId w:val="1008"/>
        </w:numPr>
      </w:pPr>
      <w:r>
        <w:t xml:space="preserve">Leverage trajectory for remaining SPGI;</w:t>
      </w:r>
    </w:p>
    <w:p>
      <w:pPr>
        <w:pStyle w:val="Compact"/>
        <w:numPr>
          <w:ilvl w:val="0"/>
          <w:numId w:val="1008"/>
        </w:numPr>
      </w:pPr>
      <w:r>
        <w:t xml:space="preserve">Any dividend implications.</w:t>
      </w:r>
    </w:p>
    <w:p>
      <w:pPr>
        <w:pStyle w:val="FirstParagraph"/>
      </w:pPr>
      <w:r>
        <w:t xml:space="preserve">For a company with durable recurring revenue, high margins, and a reduced share count, repurchase execution can be a meaningful EPS support mechanism—especially if management views the post-spin share price as attractive.</w:t>
      </w:r>
    </w:p>
    <w:bookmarkEnd w:id="17"/>
    <w:bookmarkStart w:id="20" w:name="Xfc352ca562f8db377002b0ba0c8b7cc2b5d5f63"/>
    <w:p>
      <w:pPr>
        <w:pStyle w:val="Heading2"/>
      </w:pPr>
      <w:r>
        <w:t xml:space="preserve">What constitutes a positive or negative report?</w:t>
      </w:r>
    </w:p>
    <w:bookmarkStart w:id="18" w:name="positive-outcome"/>
    <w:p>
      <w:pPr>
        <w:pStyle w:val="Heading3"/>
      </w:pPr>
      <w:r>
        <w:t xml:space="preserve">Positive outcome</w:t>
      </w:r>
    </w:p>
    <w:p>
      <w:pPr>
        <w:pStyle w:val="Compact"/>
        <w:numPr>
          <w:ilvl w:val="0"/>
          <w:numId w:val="1009"/>
        </w:numPr>
      </w:pPr>
      <w:r>
        <w:t xml:space="preserve">Updated continuing-SPGI guidance preserves a mid- to high-single-digit organic growth profile;</w:t>
      </w:r>
    </w:p>
    <w:p>
      <w:pPr>
        <w:pStyle w:val="Compact"/>
        <w:numPr>
          <w:ilvl w:val="0"/>
          <w:numId w:val="1009"/>
        </w:numPr>
      </w:pPr>
      <w:r>
        <w:t xml:space="preserve">Ratings remains strong without a major increase in second-half caution;</w:t>
      </w:r>
    </w:p>
    <w:p>
      <w:pPr>
        <w:pStyle w:val="Compact"/>
        <w:numPr>
          <w:ilvl w:val="0"/>
          <w:numId w:val="1009"/>
        </w:numPr>
      </w:pPr>
      <w:r>
        <w:t xml:space="preserve">Indices growth and margins remain robust;</w:t>
      </w:r>
    </w:p>
    <w:p>
      <w:pPr>
        <w:pStyle w:val="Compact"/>
        <w:numPr>
          <w:ilvl w:val="0"/>
          <w:numId w:val="1009"/>
        </w:numPr>
      </w:pPr>
      <w:r>
        <w:t xml:space="preserve">Market Intelligence subscription and ACV momentum accelerate;</w:t>
      </w:r>
    </w:p>
    <w:p>
      <w:pPr>
        <w:pStyle w:val="Compact"/>
        <w:numPr>
          <w:ilvl w:val="0"/>
          <w:numId w:val="1009"/>
        </w:numPr>
      </w:pPr>
      <w:r>
        <w:t xml:space="preserve">Energy softness is contained and the second-half recovery thesis is maintained;</w:t>
      </w:r>
    </w:p>
    <w:p>
      <w:pPr>
        <w:pStyle w:val="Compact"/>
        <w:numPr>
          <w:ilvl w:val="0"/>
          <w:numId w:val="1009"/>
        </w:numPr>
      </w:pPr>
      <w:r>
        <w:t xml:space="preserve">Buyback/capital-return plans remain aggressive;</w:t>
      </w:r>
    </w:p>
    <w:p>
      <w:pPr>
        <w:pStyle w:val="Compact"/>
        <w:numPr>
          <w:ilvl w:val="0"/>
          <w:numId w:val="1009"/>
        </w:numPr>
      </w:pPr>
      <w:r>
        <w:t xml:space="preserve">Management provides a transparent post-spin earnings bridge with limited stranded-cost drag.</w:t>
      </w:r>
    </w:p>
    <w:bookmarkEnd w:id="18"/>
    <w:bookmarkStart w:id="19" w:name="negative-outcome"/>
    <w:p>
      <w:pPr>
        <w:pStyle w:val="Heading3"/>
      </w:pPr>
      <w:r>
        <w:t xml:space="preserve">Negative outcome</w:t>
      </w:r>
    </w:p>
    <w:p>
      <w:pPr>
        <w:pStyle w:val="Compact"/>
        <w:numPr>
          <w:ilvl w:val="0"/>
          <w:numId w:val="1010"/>
        </w:numPr>
      </w:pPr>
      <w:r>
        <w:t xml:space="preserve">The new post-spin outlook implies a material cut versus the prior operating framework;</w:t>
      </w:r>
    </w:p>
    <w:p>
      <w:pPr>
        <w:pStyle w:val="Compact"/>
        <w:numPr>
          <w:ilvl w:val="0"/>
          <w:numId w:val="1010"/>
        </w:numPr>
      </w:pPr>
      <w:r>
        <w:t xml:space="preserve">Ratings guidance weakens because 1Q/2Q issuance was more heavily pulled forward than expected;</w:t>
      </w:r>
    </w:p>
    <w:p>
      <w:pPr>
        <w:pStyle w:val="Compact"/>
        <w:numPr>
          <w:ilvl w:val="0"/>
          <w:numId w:val="1010"/>
        </w:numPr>
      </w:pPr>
      <w:r>
        <w:t xml:space="preserve">Market Intelligence fails to show subscription acceleration;</w:t>
      </w:r>
    </w:p>
    <w:p>
      <w:pPr>
        <w:pStyle w:val="Compact"/>
        <w:numPr>
          <w:ilvl w:val="0"/>
          <w:numId w:val="1010"/>
        </w:numPr>
      </w:pPr>
      <w:r>
        <w:t xml:space="preserve">Energy subscription weakness extends beyond the expected 2Q disruption;</w:t>
      </w:r>
    </w:p>
    <w:p>
      <w:pPr>
        <w:pStyle w:val="Compact"/>
        <w:numPr>
          <w:ilvl w:val="0"/>
          <w:numId w:val="1010"/>
        </w:numPr>
      </w:pPr>
      <w:r>
        <w:t xml:space="preserve">Stranded costs, separation friction, or a higher corporate-cost base dilute the margin story;</w:t>
      </w:r>
    </w:p>
    <w:p>
      <w:pPr>
        <w:pStyle w:val="Compact"/>
        <w:numPr>
          <w:ilvl w:val="0"/>
          <w:numId w:val="1010"/>
        </w:numPr>
      </w:pPr>
      <w:r>
        <w:t xml:space="preserve">Capital return is less aggressive than investors had expected.</w:t>
      </w:r>
    </w:p>
    <w:bookmarkEnd w:id="19"/>
    <w:bookmarkEnd w:id="20"/>
    <w:bookmarkStart w:id="21" w:name="bottom-line"/>
    <w:p>
      <w:pPr>
        <w:pStyle w:val="Heading2"/>
      </w:pPr>
      <w:r>
        <w:t xml:space="preserve">Bottom line</w:t>
      </w:r>
    </w:p>
    <w:p>
      <w:pPr>
        <w:pStyle w:val="FirstParagraph"/>
      </w:pPr>
      <w:r>
        <w:t xml:space="preserve">This is a</w:t>
      </w:r>
      <w:r>
        <w:t xml:space="preserve"> </w:t>
      </w:r>
      <w:r>
        <w:rPr>
          <w:b/>
          <w:bCs/>
        </w:rPr>
        <w:t xml:space="preserve">transition quarter</w:t>
      </w:r>
      <w:r>
        <w:t xml:space="preserve">, not a clean beat-or-miss event. SPGI likely has enough underlying momentum in Ratings, Indices, and Market Intelligence to produce respectable operating results. The more important investor debate will be whether the company can establish a clean, credible standalone framework for continuing SPGI: high-single-digit organic growth, incremental margin expansion, AI-led monetization and productivity upside, and sustained capital returns.</w:t>
      </w:r>
    </w:p>
    <w:p>
      <w:pPr>
        <w:pStyle w:val="BodyText"/>
      </w:pPr>
      <w:r>
        <w:t xml:space="preserve">Energy is the principal near-term risk, while the post-spin guidance bridge is the principal stock catalyst. A transparent outlook that preserves the core quality-growth algorithm could shift attention away from a potentially noisy 2Q accounting presentation and back toward SPGI’s durable earnings power.</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2026-07-28T00:14:26Z</dcterms:created>
  <dcterms:modified xsi:type="dcterms:W3CDTF">2026-07-28T00:14:26Z</dcterms:modified>
</cp:coreProperties>
</file>

<file path=docProps/custom.xml><?xml version="1.0" encoding="utf-8"?>
<Properties xmlns="http://schemas.openxmlformats.org/officeDocument/2006/custom-properties" xmlns:vt="http://schemas.openxmlformats.org/officeDocument/2006/docPropsVTypes"/>
</file>