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S&amp;P Global (SPGI)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S&amp;P Global Inc.</w:t>
            </w:r>
          </w:p>
        </w:tc>
      </w:tr>
      <w:tr>
        <w:tc>
          <w:tcPr>
            <w:tcW w:type="dxa" w:w="4320"/>
          </w:tcPr>
          <w:p>
            <w:r>
              <w:rPr>
                <w:rFonts w:ascii="Calibri" w:hAnsi="Calibri"/>
                <w:b/>
                <w:sz w:val="22"/>
              </w:rPr>
              <w:t>Ticker</w:t>
            </w:r>
          </w:p>
        </w:tc>
        <w:tc>
          <w:tcPr>
            <w:tcW w:type="dxa" w:w="4320"/>
          </w:tcPr>
          <w:p>
            <w:r>
              <w:rPr>
                <w:rFonts w:ascii="Calibri" w:hAnsi="Calibri"/>
                <w:sz w:val="22"/>
              </w:rPr>
              <w:t>SPGI (NYSE)</w:t>
            </w:r>
          </w:p>
        </w:tc>
      </w:tr>
      <w:tr>
        <w:tc>
          <w:tcPr>
            <w:tcW w:type="dxa" w:w="4320"/>
          </w:tcPr>
          <w:p>
            <w:r>
              <w:rPr>
                <w:rFonts w:ascii="Calibri" w:hAnsi="Calibri"/>
                <w:b/>
                <w:sz w:val="22"/>
              </w:rPr>
              <w:t>Earnings Date</w:t>
            </w:r>
          </w:p>
        </w:tc>
        <w:tc>
          <w:tcPr>
            <w:tcW w:type="dxa" w:w="4320"/>
          </w:tcPr>
          <w:p>
            <w:r>
              <w:rPr>
                <w:rFonts w:ascii="Calibri" w:hAnsi="Calibri"/>
                <w:sz w:val="22"/>
              </w:rPr>
              <w:t>July 28, 2026 (pre-market)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July 27, 2026</w:t>
            </w:r>
          </w:p>
        </w:tc>
      </w:tr>
      <w:tr>
        <w:tc>
          <w:tcPr>
            <w:tcW w:type="dxa" w:w="4320"/>
          </w:tcPr>
          <w:p>
            <w:r>
              <w:rPr>
                <w:rFonts w:ascii="Calibri" w:hAnsi="Calibri"/>
                <w:b/>
                <w:sz w:val="22"/>
              </w:rPr>
              <w:t>Sector ETF Benchmark</w:t>
            </w:r>
          </w:p>
        </w:tc>
        <w:tc>
          <w:tcPr>
            <w:tcW w:type="dxa" w:w="4320"/>
          </w:tcPr>
          <w:p>
            <w:r>
              <w:rPr>
                <w:rFonts w:ascii="Calibri" w:hAnsi="Calibri"/>
                <w:sz w:val="22"/>
              </w:rPr>
              <w:t>XLF (Financial Select Sector SPDR)</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Setup is constructive but not a slam dunk — consensus is a beatable bar on EPS and Ratings, but the Mobility spin-off recast creates a new reporting framework that could introduce noise, and the Energy division remains a near-term drag. The single biggest swing factor is whether Ratings transaction revenue sustains its Q1 momentum or decelerates as management guided.</w:t>
      </w:r>
    </w:p>
    <w:p>
      <w:r>
        <w:rPr>
          <w:rFonts w:ascii="Calibri" w:hAnsi="Calibri"/>
          <w:color w:val="525866"/>
          <w:sz w:val="22"/>
        </w:rPr>
        <w:t xml:space="preserve">Heading into Q2 2026, SPGI’s setup is broadly positive but nuanced. Consensus expects total revenue of ~$4.11B (+9% YoY on a recast basis) and adjusted diluted EPS of ~$4.95, both of which represent achievable bars given the company’s Q1 beat and the structural tailwinds in Ratings (hyperscaler CapEx-driven issuance, $8T+ maturity wall) and Indices (record ETF AUM). Management’s tone at Q1 was confident across all divisions except Energy, where the Iran conflict suppressed subscription revenue and pipeline; management guided Q2 Energy to fall below the full-year range before recovering in H2, so the Energy miss is already baked into consensus. The most important variable is </w:t>
      </w:r>
      <w:r>
        <w:rPr>
          <w:rFonts w:ascii="Calibri" w:hAnsi="Calibri"/>
          <w:b/>
          <w:color w:val="525866"/>
          <w:sz w:val="22"/>
        </w:rPr>
        <w:t>Ratings transaction revenue</w:t>
      </w:r>
      <w:r>
        <w:rPr>
          <w:rFonts w:ascii="Calibri" w:hAnsi="Calibri"/>
          <w:color w:val="525866"/>
          <w:sz w:val="22"/>
        </w:rPr>
        <w:t xml:space="preserve"> — management explicitly flagged that Q1 Ratings outperformance was partly pull-forward from hyperscaler issuance, and guided for no acceleration in Q2 Ratings revenue growth, with moderation expected in Q3 and a negative comp in Q4. Peer read-throughs from Moody’s Q2 2026 (25% MIS revenue growth, $2T+ rated for second consecutive quarter) are strongly positive for the Ratings read-through. The stock has lagged the S&amp;P 500 (+1.5% vs. +3.8%) and significantly underperformed XLF (+9.7%) since Q1 earnings, suggesting the market has not priced in a beat — a clean print with reiterated full-year guidance could be a positive catalyst. The wildcard is the </w:t>
      </w:r>
      <w:r>
        <w:rPr>
          <w:rFonts w:ascii="Calibri" w:hAnsi="Calibri"/>
          <w:b/>
          <w:color w:val="525866"/>
          <w:sz w:val="22"/>
        </w:rPr>
        <w:t>Mobility spin-off recast</w:t>
      </w:r>
      <w:r>
        <w:rPr>
          <w:rFonts w:ascii="Calibri" w:hAnsi="Calibri"/>
          <w:color w:val="525866"/>
          <w:sz w:val="22"/>
        </w:rPr>
        <w:t>: SPGI completed the MBGL separation on July 1, 2026 and published pro forma financials on July 6, creating a new four-segment reporting structure (Ratings, Market Intelligence, Energy, Indices) with new business line disclosures (Kensho Data &amp; Platforms / Enterprise Solutions for MI; Platts / CERA for Energy). Any confusion around the recast comparables could create short-term volatility regardless of underlying performance.</w:t>
      </w:r>
    </w:p>
    <w:p>
      <w:pPr>
        <w:pStyle w:val="ListBullet"/>
        <w:ind w:left="360" w:hanging="360"/>
      </w:pPr>
      <w:r>
        <w:rPr>
          <w:rFonts w:ascii="Calibri" w:hAnsi="Calibri"/>
          <w:b/>
          <w:color w:val="525866"/>
          <w:sz w:val="22"/>
        </w:rPr>
        <w:t xml:space="preserve">Bar: </w:t>
      </w:r>
      <w:r>
        <w:rPr>
          <w:rFonts w:ascii="Calibri" w:hAnsi="Calibri"/>
          <w:color w:val="525866"/>
          <w:sz w:val="22"/>
        </w:rPr>
        <w:t>Consensus revenue of ~$4.11B and adj. EPS of ~$4.95 represent a moderate bar. SPGI beat on both metrics in Q1 2026 (revenue $4.17B vs. $4.07B consensus; EPS $4.97 vs. $4.81 consensus), and the Q2 bar is set slightly lower on a sequential basis, consistent with normal seasonality.</w:t>
      </w:r>
    </w:p>
    <w:p>
      <w:pPr>
        <w:pStyle w:val="ListBullet"/>
        <w:ind w:left="360" w:hanging="360"/>
      </w:pPr>
      <w:r>
        <w:rPr>
          <w:rFonts w:ascii="Calibri" w:hAnsi="Calibri"/>
          <w:b/>
          <w:color w:val="525866"/>
          <w:sz w:val="22"/>
        </w:rPr>
        <w:t xml:space="preserve">Guidance/Tone: </w:t>
      </w:r>
      <w:r>
        <w:rPr>
          <w:rFonts w:ascii="Calibri" w:hAnsi="Calibri"/>
          <w:color w:val="525866"/>
          <w:sz w:val="22"/>
        </w:rPr>
        <w:t>Management reiterated full-year guidance at Q1 for all divisions except Energy (lowered ~1pp). Tone was confident on Ratings, MI subscription acceleration, and Indices. The Mobility spin-off is now complete, removing a structural overhang and allowing management to focus on the four core divisions.</w:t>
      </w:r>
    </w:p>
    <w:p>
      <w:pPr>
        <w:pStyle w:val="ListBullet"/>
        <w:ind w:left="360" w:hanging="360"/>
      </w:pPr>
      <w:r>
        <w:rPr>
          <w:rFonts w:ascii="Calibri" w:hAnsi="Calibri"/>
          <w:b/>
          <w:color w:val="525866"/>
          <w:sz w:val="22"/>
        </w:rPr>
        <w:t xml:space="preserve">Estimate Trajectory: </w:t>
      </w:r>
      <w:r>
        <w:rPr>
          <w:rFonts w:ascii="Calibri" w:hAnsi="Calibri"/>
          <w:color w:val="525866"/>
          <w:sz w:val="22"/>
        </w:rPr>
        <w:t>Estimates have been broadly stable since Q1 earnings. FY2026 adj. EPS consensus of ~$19.48 is slightly below the guidance midpoint of $19.525 ($19.40–$19.65), suggesting modest upside cushion if Ratings and Indices continue to outperform.</w:t>
      </w:r>
    </w:p>
    <w:p>
      <w:pPr>
        <w:pStyle w:val="ListBullet"/>
        <w:ind w:left="360" w:hanging="360"/>
      </w:pPr>
      <w:r>
        <w:rPr>
          <w:rFonts w:ascii="Calibri" w:hAnsi="Calibri"/>
          <w:b/>
          <w:color w:val="525866"/>
          <w:sz w:val="22"/>
        </w:rPr>
        <w:t xml:space="preserve">Stock Setup: </w:t>
      </w:r>
      <w:r>
        <w:rPr>
          <w:rFonts w:ascii="Calibri" w:hAnsi="Calibri"/>
          <w:color w:val="525866"/>
          <w:sz w:val="22"/>
        </w:rPr>
        <w:t>SPGI is up only +1.5% since Q1 earnings vs. +3.8% for SPY and +9.7% for XLF, reflecting underperformance driven by the Energy guidance cut, MI leadership uncertainty (Saugata Saha departure), and spin-off mechanics. The stock trades at a premium multiple but has not priced in a beat, creating asymmetric upside on a clean print.</w:t>
      </w:r>
    </w:p>
    <w:p>
      <w:pPr>
        <w:pStyle w:val="ListBullet"/>
        <w:ind w:left="360" w:hanging="360"/>
      </w:pPr>
      <w:r>
        <w:rPr>
          <w:rFonts w:ascii="Calibri" w:hAnsi="Calibri"/>
          <w:b/>
          <w:color w:val="525866"/>
          <w:sz w:val="22"/>
        </w:rPr>
        <w:t xml:space="preserve">Wildcard: </w:t>
      </w:r>
      <w:r>
        <w:rPr>
          <w:rFonts w:ascii="Calibri" w:hAnsi="Calibri"/>
          <w:color w:val="525866"/>
          <w:sz w:val="22"/>
        </w:rPr>
        <w:t>The Mobility spin-off recast introduces new segment definitions and expense allocation methodologies. If the recast comparables are confusing or if management provides updated FY2026 guidance on a post-Mobility basis that differs from current consensus, the market reaction could be driven by guidance interpretation rather than underlying Q2 performance.</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is a beatable bar on both top-line and EPS given Q1 momentum and positive peer read-throughs from Moody’s. Ratings organic growth is the bigger swing factor — consensus at ~13% is achievable but management guided for no acceleration vs. Q1, and the Energy division is expected to be the one deliberate miss.</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(FY2026)</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Revenue ($M)</w:t>
            </w:r>
          </w:p>
        </w:tc>
        <w:tc>
          <w:tcPr>
            <w:tcW w:type="dxa" w:w="1234"/>
          </w:tcPr>
          <w:p>
            <w:r>
              <w:rPr>
                <w:rFonts w:ascii="Calibri" w:hAnsi="Calibri"/>
                <w:sz w:val="22"/>
              </w:rPr>
              <w:t>$4,171</w:t>
            </w:r>
          </w:p>
        </w:tc>
        <w:tc>
          <w:tcPr>
            <w:tcW w:type="dxa" w:w="1234"/>
          </w:tcPr>
          <w:p>
            <w:r>
              <w:rPr>
                <w:rFonts w:ascii="Calibri" w:hAnsi="Calibri"/>
                <w:sz w:val="22"/>
              </w:rPr>
              <w:t>$3,755 (reported); $3,317 (pro forma recast)</w:t>
            </w:r>
          </w:p>
        </w:tc>
        <w:tc>
          <w:tcPr>
            <w:tcW w:type="dxa" w:w="1234"/>
          </w:tcPr>
          <w:p>
            <w:r>
              <w:rPr>
                <w:rFonts w:ascii="Calibri" w:hAnsi="Calibri"/>
                <w:sz w:val="22"/>
              </w:rPr>
              <w:t>$4,111</w:t>
            </w:r>
          </w:p>
        </w:tc>
        <w:tc>
          <w:tcPr>
            <w:tcW w:type="dxa" w:w="1234"/>
          </w:tcPr>
          <w:p>
            <w:r>
              <w:rPr>
                <w:rFonts w:ascii="Calibri" w:hAnsi="Calibri"/>
                <w:sz w:val="22"/>
              </w:rPr>
              <w:t>+9.4% (vs. recast PY)</w:t>
            </w:r>
          </w:p>
        </w:tc>
        <w:tc>
          <w:tcPr>
            <w:tcW w:type="dxa" w:w="1234"/>
          </w:tcPr>
          <w:p>
            <w:r>
              <w:rPr>
                <w:rFonts w:ascii="Calibri" w:hAnsi="Calibri"/>
                <w:sz w:val="22"/>
              </w:rPr>
              <w:t>Organic CC growth 6–8% (FY)</w:t>
            </w:r>
          </w:p>
        </w:tc>
        <w:tc>
          <w:tcPr>
            <w:tcW w:type="dxa" w:w="1234"/>
          </w:tcPr>
          <w:p>
            <w:r>
              <w:rPr>
                <w:rFonts w:ascii="Calibri" w:hAnsi="Calibri"/>
                <w:sz w:val="22"/>
              </w:rPr>
              <w:t>Within range</w:t>
            </w:r>
          </w:p>
        </w:tc>
      </w:tr>
      <w:tr>
        <w:tc>
          <w:tcPr>
            <w:tcW w:type="dxa" w:w="1234"/>
          </w:tcPr>
          <w:p>
            <w:r>
              <w:rPr>
                <w:rFonts w:ascii="Calibri" w:hAnsi="Calibri"/>
                <w:sz w:val="22"/>
              </w:rPr>
              <w:t>Adj. Diluted EPS ($)</w:t>
            </w:r>
          </w:p>
        </w:tc>
        <w:tc>
          <w:tcPr>
            <w:tcW w:type="dxa" w:w="1234"/>
          </w:tcPr>
          <w:p>
            <w:r>
              <w:rPr>
                <w:rFonts w:ascii="Calibri" w:hAnsi="Calibri"/>
                <w:sz w:val="22"/>
              </w:rPr>
              <w:t>$4.97</w:t>
            </w:r>
          </w:p>
        </w:tc>
        <w:tc>
          <w:tcPr>
            <w:tcW w:type="dxa" w:w="1234"/>
          </w:tcPr>
          <w:p>
            <w:r>
              <w:rPr>
                <w:rFonts w:ascii="Calibri" w:hAnsi="Calibri"/>
                <w:sz w:val="22"/>
              </w:rPr>
              <w:t>$4.43</w:t>
            </w:r>
          </w:p>
        </w:tc>
        <w:tc>
          <w:tcPr>
            <w:tcW w:type="dxa" w:w="1234"/>
          </w:tcPr>
          <w:p>
            <w:r>
              <w:rPr>
                <w:rFonts w:ascii="Calibri" w:hAnsi="Calibri"/>
                <w:sz w:val="22"/>
              </w:rPr>
              <w:t>$4.95</w:t>
            </w:r>
          </w:p>
        </w:tc>
        <w:tc>
          <w:tcPr>
            <w:tcW w:type="dxa" w:w="1234"/>
          </w:tcPr>
          <w:p>
            <w:r>
              <w:rPr>
                <w:rFonts w:ascii="Calibri" w:hAnsi="Calibri"/>
                <w:sz w:val="22"/>
              </w:rPr>
              <w:t>+11.7% YoY</w:t>
            </w:r>
          </w:p>
        </w:tc>
        <w:tc>
          <w:tcPr>
            <w:tcW w:type="dxa" w:w="1234"/>
          </w:tcPr>
          <w:p>
            <w:r>
              <w:rPr>
                <w:rFonts w:ascii="Calibri" w:hAnsi="Calibri"/>
                <w:sz w:val="22"/>
              </w:rPr>
              <w:t>$19.40–$19.65 (FY)</w:t>
            </w:r>
          </w:p>
        </w:tc>
        <w:tc>
          <w:tcPr>
            <w:tcW w:type="dxa" w:w="1234"/>
          </w:tcPr>
          <w:p>
            <w:r>
              <w:rPr>
                <w:rFonts w:ascii="Calibri" w:hAnsi="Calibri"/>
                <w:sz w:val="22"/>
              </w:rPr>
              <w:t>~−0.3% vs. midpoint</w:t>
            </w:r>
          </w:p>
        </w:tc>
      </w:tr>
      <w:tr>
        <w:tc>
          <w:tcPr>
            <w:tcW w:type="dxa" w:w="1234"/>
          </w:tcPr>
          <w:p>
            <w:r>
              <w:rPr>
                <w:rFonts w:ascii="Calibri" w:hAnsi="Calibri"/>
                <w:sz w:val="22"/>
              </w:rPr>
              <w:t>Adj. Operating Margin (%)</w:t>
            </w:r>
          </w:p>
        </w:tc>
        <w:tc>
          <w:tcPr>
            <w:tcW w:type="dxa" w:w="1234"/>
          </w:tcPr>
          <w:p>
            <w:r>
              <w:rPr>
                <w:rFonts w:ascii="Calibri" w:hAnsi="Calibri"/>
                <w:sz w:val="22"/>
              </w:rPr>
              <w:t>51.8%</w:t>
            </w:r>
          </w:p>
        </w:tc>
        <w:tc>
          <w:tcPr>
            <w:tcW w:type="dxa" w:w="1234"/>
          </w:tcPr>
          <w:p>
            <w:r>
              <w:rPr>
                <w:rFonts w:ascii="Calibri" w:hAnsi="Calibri"/>
                <w:sz w:val="22"/>
              </w:rPr>
              <w:t>51.4%</w:t>
            </w:r>
          </w:p>
        </w:tc>
        <w:tc>
          <w:tcPr>
            <w:tcW w:type="dxa" w:w="1234"/>
          </w:tcPr>
          <w:p>
            <w:r>
              <w:rPr>
                <w:rFonts w:ascii="Calibri" w:hAnsi="Calibri"/>
                <w:sz w:val="22"/>
              </w:rPr>
              <w:t>51.6%</w:t>
            </w:r>
          </w:p>
        </w:tc>
        <w:tc>
          <w:tcPr>
            <w:tcW w:type="dxa" w:w="1234"/>
          </w:tcPr>
          <w:p>
            <w:r>
              <w:rPr>
                <w:rFonts w:ascii="Calibri" w:hAnsi="Calibri"/>
                <w:sz w:val="22"/>
              </w:rPr>
              <w:t>+20 bps YoY</w:t>
            </w:r>
          </w:p>
        </w:tc>
        <w:tc>
          <w:tcPr>
            <w:tcW w:type="dxa" w:w="1234"/>
          </w:tcPr>
          <w:p>
            <w:r>
              <w:rPr>
                <w:rFonts w:ascii="Calibri" w:hAnsi="Calibri"/>
                <w:sz w:val="22"/>
              </w:rPr>
              <w:t>Expansion every division (FY)</w:t>
            </w:r>
          </w:p>
        </w:tc>
        <w:tc>
          <w:tcPr>
            <w:tcW w:type="dxa" w:w="1234"/>
          </w:tcPr>
          <w:p>
            <w:r>
              <w:rPr>
                <w:rFonts w:ascii="Calibri" w:hAnsi="Calibri"/>
                <w:sz w:val="22"/>
              </w:rPr>
              <w:t>In line</w:t>
            </w:r>
          </w:p>
        </w:tc>
      </w:tr>
      <w:tr>
        <w:tc>
          <w:tcPr>
            <w:tcW w:type="dxa" w:w="1234"/>
          </w:tcPr>
          <w:p>
            <w:r>
              <w:rPr>
                <w:rFonts w:ascii="Calibri" w:hAnsi="Calibri"/>
                <w:sz w:val="22"/>
              </w:rPr>
              <w:t>Ratings Revenue ($M)</w:t>
            </w:r>
          </w:p>
        </w:tc>
        <w:tc>
          <w:tcPr>
            <w:tcW w:type="dxa" w:w="1234"/>
          </w:tcPr>
          <w:p>
            <w:r>
              <w:rPr>
                <w:rFonts w:ascii="Calibri" w:hAnsi="Calibri"/>
                <w:sz w:val="22"/>
              </w:rPr>
              <w:t>$1,302</w:t>
            </w:r>
          </w:p>
        </w:tc>
        <w:tc>
          <w:tcPr>
            <w:tcW w:type="dxa" w:w="1234"/>
          </w:tcPr>
          <w:p>
            <w:r>
              <w:rPr>
                <w:rFonts w:ascii="Calibri" w:hAnsi="Calibri"/>
                <w:sz w:val="22"/>
              </w:rPr>
              <w:t>$1,148</w:t>
            </w:r>
          </w:p>
        </w:tc>
        <w:tc>
          <w:tcPr>
            <w:tcW w:type="dxa" w:w="1234"/>
          </w:tcPr>
          <w:p>
            <w:r>
              <w:rPr>
                <w:rFonts w:ascii="Calibri" w:hAnsi="Calibri"/>
                <w:sz w:val="22"/>
              </w:rPr>
              <w:t>$1,281</w:t>
            </w:r>
          </w:p>
        </w:tc>
        <w:tc>
          <w:tcPr>
            <w:tcW w:type="dxa" w:w="1234"/>
          </w:tcPr>
          <w:p>
            <w:r>
              <w:rPr>
                <w:rFonts w:ascii="Calibri" w:hAnsi="Calibri"/>
                <w:sz w:val="22"/>
              </w:rPr>
              <w:t>+11.6% YoY</w:t>
            </w:r>
          </w:p>
        </w:tc>
        <w:tc>
          <w:tcPr>
            <w:tcW w:type="dxa" w:w="1234"/>
          </w:tcPr>
          <w:p>
            <w:r>
              <w:rPr>
                <w:rFonts w:ascii="Calibri" w:hAnsi="Calibri"/>
                <w:sz w:val="22"/>
              </w:rPr>
              <w:t>Organic CC growth 6–9% (FY)</w:t>
            </w:r>
          </w:p>
        </w:tc>
        <w:tc>
          <w:tcPr>
            <w:tcW w:type="dxa" w:w="1234"/>
          </w:tcPr>
          <w:p>
            <w:r>
              <w:rPr>
                <w:rFonts w:ascii="Calibri" w:hAnsi="Calibri"/>
                <w:sz w:val="22"/>
              </w:rPr>
              <w:t>Above midpoint</w:t>
            </w:r>
          </w:p>
        </w:tc>
      </w:tr>
      <w:tr>
        <w:tc>
          <w:tcPr>
            <w:tcW w:type="dxa" w:w="1234"/>
          </w:tcPr>
          <w:p>
            <w:r>
              <w:rPr>
                <w:rFonts w:ascii="Calibri" w:hAnsi="Calibri"/>
                <w:sz w:val="22"/>
              </w:rPr>
              <w:t>Ratings Organic Growth (%)</w:t>
            </w:r>
          </w:p>
        </w:tc>
        <w:tc>
          <w:tcPr>
            <w:tcW w:type="dxa" w:w="1234"/>
          </w:tcPr>
          <w:p>
            <w:r>
              <w:rPr>
                <w:rFonts w:ascii="Calibri" w:hAnsi="Calibri"/>
                <w:sz w:val="22"/>
              </w:rPr>
              <w:t>13.3%</w:t>
            </w:r>
          </w:p>
        </w:tc>
        <w:tc>
          <w:tcPr>
            <w:tcW w:type="dxa" w:w="1234"/>
          </w:tcPr>
          <w:p>
            <w:r>
              <w:rPr>
                <w:rFonts w:ascii="Calibri" w:hAnsi="Calibri"/>
                <w:sz w:val="22"/>
              </w:rPr>
              <w:t>1.1%</w:t>
            </w:r>
          </w:p>
        </w:tc>
        <w:tc>
          <w:tcPr>
            <w:tcW w:type="dxa" w:w="1234"/>
          </w:tcPr>
          <w:p>
            <w:r>
              <w:rPr>
                <w:rFonts w:ascii="Calibri" w:hAnsi="Calibri"/>
                <w:sz w:val="22"/>
              </w:rPr>
              <w:t>13.1%</w:t>
            </w:r>
          </w:p>
        </w:tc>
        <w:tc>
          <w:tcPr>
            <w:tcW w:type="dxa" w:w="1234"/>
          </w:tcPr>
          <w:p>
            <w:r>
              <w:rPr>
                <w:rFonts w:ascii="Calibri" w:hAnsi="Calibri"/>
                <w:sz w:val="22"/>
              </w:rPr>
              <w:t>+1,200 bps YoY</w:t>
            </w:r>
          </w:p>
        </w:tc>
        <w:tc>
          <w:tcPr>
            <w:tcW w:type="dxa" w:w="1234"/>
          </w:tcPr>
          <w:p>
            <w:r>
              <w:rPr>
                <w:rFonts w:ascii="Calibri" w:hAnsi="Calibri"/>
                <w:sz w:val="22"/>
              </w:rPr>
              <w:t>6–9% (FY)</w:t>
            </w:r>
          </w:p>
        </w:tc>
        <w:tc>
          <w:tcPr>
            <w:tcW w:type="dxa" w:w="1234"/>
          </w:tcPr>
          <w:p>
            <w:r>
              <w:rPr>
                <w:rFonts w:ascii="Calibri" w:hAnsi="Calibri"/>
                <w:sz w:val="22"/>
              </w:rPr>
              <w:t>Well above FY range</w:t>
            </w:r>
          </w:p>
        </w:tc>
      </w:tr>
      <w:tr>
        <w:tc>
          <w:tcPr>
            <w:tcW w:type="dxa" w:w="1234"/>
          </w:tcPr>
          <w:p>
            <w:r>
              <w:rPr>
                <w:rFonts w:ascii="Calibri" w:hAnsi="Calibri"/>
                <w:sz w:val="22"/>
              </w:rPr>
              <w:t>Market Intelligence Revenue ($M)</w:t>
            </w:r>
          </w:p>
        </w:tc>
        <w:tc>
          <w:tcPr>
            <w:tcW w:type="dxa" w:w="1234"/>
          </w:tcPr>
          <w:p>
            <w:r>
              <w:rPr>
                <w:rFonts w:ascii="Calibri" w:hAnsi="Calibri"/>
                <w:sz w:val="22"/>
              </w:rPr>
              <w:t>$1,296 (reported); $1,224 (recast)</w:t>
            </w:r>
          </w:p>
        </w:tc>
        <w:tc>
          <w:tcPr>
            <w:tcW w:type="dxa" w:w="1234"/>
          </w:tcPr>
          <w:p>
            <w:r>
              <w:rPr>
                <w:rFonts w:ascii="Calibri" w:hAnsi="Calibri"/>
                <w:sz w:val="22"/>
              </w:rPr>
              <w:t>$1,217 (reported); $1,165 (recast)</w:t>
            </w:r>
          </w:p>
        </w:tc>
        <w:tc>
          <w:tcPr>
            <w:tcW w:type="dxa" w:w="1234"/>
          </w:tcPr>
          <w:p>
            <w:r>
              <w:rPr>
                <w:rFonts w:ascii="Calibri" w:hAnsi="Calibri"/>
                <w:sz w:val="22"/>
              </w:rPr>
              <w:t>$1,292</w:t>
            </w:r>
          </w:p>
        </w:tc>
        <w:tc>
          <w:tcPr>
            <w:tcW w:type="dxa" w:w="1234"/>
          </w:tcPr>
          <w:p>
            <w:r>
              <w:rPr>
                <w:rFonts w:ascii="Calibri" w:hAnsi="Calibri"/>
                <w:sz w:val="22"/>
              </w:rPr>
              <w:t>+10.9% YoY (vs. recast)</w:t>
            </w:r>
          </w:p>
        </w:tc>
        <w:tc>
          <w:tcPr>
            <w:tcW w:type="dxa" w:w="1234"/>
          </w:tcPr>
          <w:p>
            <w:r>
              <w:rPr>
                <w:rFonts w:ascii="Calibri" w:hAnsi="Calibri"/>
                <w:sz w:val="22"/>
              </w:rPr>
              <w:t>Organic CC growth 6–8% (FY)</w:t>
            </w:r>
          </w:p>
        </w:tc>
        <w:tc>
          <w:tcPr>
            <w:tcW w:type="dxa" w:w="1234"/>
          </w:tcPr>
          <w:p>
            <w:r>
              <w:rPr>
                <w:rFonts w:ascii="Calibri" w:hAnsi="Calibri"/>
                <w:sz w:val="22"/>
              </w:rPr>
              <w:t>Above midpoint</w:t>
            </w:r>
          </w:p>
        </w:tc>
      </w:tr>
      <w:tr>
        <w:tc>
          <w:tcPr>
            <w:tcW w:type="dxa" w:w="1234"/>
          </w:tcPr>
          <w:p>
            <w:r>
              <w:rPr>
                <w:rFonts w:ascii="Calibri" w:hAnsi="Calibri"/>
                <w:sz w:val="22"/>
              </w:rPr>
              <w:t>MI Organic Growth (%)</w:t>
            </w:r>
          </w:p>
        </w:tc>
        <w:tc>
          <w:tcPr>
            <w:tcW w:type="dxa" w:w="1234"/>
          </w:tcPr>
          <w:p>
            <w:r>
              <w:rPr>
                <w:rFonts w:ascii="Calibri" w:hAnsi="Calibri"/>
                <w:sz w:val="22"/>
              </w:rPr>
              <w:t>8.1%</w:t>
            </w:r>
          </w:p>
        </w:tc>
        <w:tc>
          <w:tcPr>
            <w:tcW w:type="dxa" w:w="1234"/>
          </w:tcPr>
          <w:p>
            <w:r>
              <w:rPr>
                <w:rFonts w:ascii="Calibri" w:hAnsi="Calibri"/>
                <w:sz w:val="22"/>
              </w:rPr>
              <w:t>5.4%</w:t>
            </w:r>
          </w:p>
        </w:tc>
        <w:tc>
          <w:tcPr>
            <w:tcW w:type="dxa" w:w="1234"/>
          </w:tcPr>
          <w:p>
            <w:r>
              <w:rPr>
                <w:rFonts w:ascii="Calibri" w:hAnsi="Calibri"/>
                <w:sz w:val="22"/>
              </w:rPr>
              <w:t>5.8%</w:t>
            </w:r>
          </w:p>
        </w:tc>
        <w:tc>
          <w:tcPr>
            <w:tcW w:type="dxa" w:w="1234"/>
          </w:tcPr>
          <w:p>
            <w:r>
              <w:rPr>
                <w:rFonts w:ascii="Calibri" w:hAnsi="Calibri"/>
                <w:sz w:val="22"/>
              </w:rPr>
              <w:t>+40 bps YoY</w:t>
            </w:r>
          </w:p>
        </w:tc>
        <w:tc>
          <w:tcPr>
            <w:tcW w:type="dxa" w:w="1234"/>
          </w:tcPr>
          <w:p>
            <w:r>
              <w:rPr>
                <w:rFonts w:ascii="Calibri" w:hAnsi="Calibri"/>
                <w:sz w:val="22"/>
              </w:rPr>
              <w:t>6–8% (FY)</w:t>
            </w:r>
          </w:p>
        </w:tc>
        <w:tc>
          <w:tcPr>
            <w:tcW w:type="dxa" w:w="1234"/>
          </w:tcPr>
          <w:p>
            <w:r>
              <w:rPr>
                <w:rFonts w:ascii="Calibri" w:hAnsi="Calibri"/>
                <w:sz w:val="22"/>
              </w:rPr>
              <w:t>Below midpoint</w:t>
            </w:r>
          </w:p>
        </w:tc>
      </w:tr>
      <w:tr>
        <w:tc>
          <w:tcPr>
            <w:tcW w:type="dxa" w:w="1234"/>
          </w:tcPr>
          <w:p>
            <w:r>
              <w:rPr>
                <w:rFonts w:ascii="Calibri" w:hAnsi="Calibri"/>
                <w:sz w:val="22"/>
              </w:rPr>
              <w:t>Indices Revenue ($M)</w:t>
            </w:r>
          </w:p>
        </w:tc>
        <w:tc>
          <w:tcPr>
            <w:tcW w:type="dxa" w:w="1234"/>
          </w:tcPr>
          <w:p>
            <w:r>
              <w:rPr>
                <w:rFonts w:ascii="Calibri" w:hAnsi="Calibri"/>
                <w:sz w:val="22"/>
              </w:rPr>
              <w:t>$519</w:t>
            </w:r>
          </w:p>
        </w:tc>
        <w:tc>
          <w:tcPr>
            <w:tcW w:type="dxa" w:w="1234"/>
          </w:tcPr>
          <w:p>
            <w:r>
              <w:rPr>
                <w:rFonts w:ascii="Calibri" w:hAnsi="Calibri"/>
                <w:sz w:val="22"/>
              </w:rPr>
              <w:t>$446</w:t>
            </w:r>
          </w:p>
        </w:tc>
        <w:tc>
          <w:tcPr>
            <w:tcW w:type="dxa" w:w="1234"/>
          </w:tcPr>
          <w:p>
            <w:r>
              <w:rPr>
                <w:rFonts w:ascii="Calibri" w:hAnsi="Calibri"/>
                <w:sz w:val="22"/>
              </w:rPr>
              <w:t>$517</w:t>
            </w:r>
          </w:p>
        </w:tc>
        <w:tc>
          <w:tcPr>
            <w:tcW w:type="dxa" w:w="1234"/>
          </w:tcPr>
          <w:p>
            <w:r>
              <w:rPr>
                <w:rFonts w:ascii="Calibri" w:hAnsi="Calibri"/>
                <w:sz w:val="22"/>
              </w:rPr>
              <w:t>+15.9% YoY</w:t>
            </w:r>
          </w:p>
        </w:tc>
        <w:tc>
          <w:tcPr>
            <w:tcW w:type="dxa" w:w="1234"/>
          </w:tcPr>
          <w:p>
            <w:r>
              <w:rPr>
                <w:rFonts w:ascii="Calibri" w:hAnsi="Calibri"/>
                <w:sz w:val="22"/>
              </w:rPr>
              <w:t>Organic CC growth 10–12% (FY)</w:t>
            </w:r>
          </w:p>
        </w:tc>
        <w:tc>
          <w:tcPr>
            <w:tcW w:type="dxa" w:w="1234"/>
          </w:tcPr>
          <w:p>
            <w:r>
              <w:rPr>
                <w:rFonts w:ascii="Calibri" w:hAnsi="Calibri"/>
                <w:sz w:val="22"/>
              </w:rPr>
              <w:t>Above midpoint</w:t>
            </w:r>
          </w:p>
        </w:tc>
      </w:tr>
      <w:tr>
        <w:tc>
          <w:tcPr>
            <w:tcW w:type="dxa" w:w="1234"/>
          </w:tcPr>
          <w:p>
            <w:r>
              <w:rPr>
                <w:rFonts w:ascii="Calibri" w:hAnsi="Calibri"/>
                <w:sz w:val="22"/>
              </w:rPr>
              <w:t>Indices Organic Growth (%)</w:t>
            </w:r>
          </w:p>
        </w:tc>
        <w:tc>
          <w:tcPr>
            <w:tcW w:type="dxa" w:w="1234"/>
          </w:tcPr>
          <w:p>
            <w:r>
              <w:rPr>
                <w:rFonts w:ascii="Calibri" w:hAnsi="Calibri"/>
                <w:sz w:val="22"/>
              </w:rPr>
              <w:t>16.6%</w:t>
            </w:r>
          </w:p>
        </w:tc>
        <w:tc>
          <w:tcPr>
            <w:tcW w:type="dxa" w:w="1234"/>
          </w:tcPr>
          <w:p>
            <w:r>
              <w:rPr>
                <w:rFonts w:ascii="Calibri" w:hAnsi="Calibri"/>
                <w:sz w:val="22"/>
              </w:rPr>
              <w:t>14.7%</w:t>
            </w:r>
          </w:p>
        </w:tc>
        <w:tc>
          <w:tcPr>
            <w:tcW w:type="dxa" w:w="1234"/>
          </w:tcPr>
          <w:p>
            <w:r>
              <w:rPr>
                <w:rFonts w:ascii="Calibri" w:hAnsi="Calibri"/>
                <w:sz w:val="22"/>
              </w:rPr>
              <w:t>17.6%</w:t>
            </w:r>
          </w:p>
        </w:tc>
        <w:tc>
          <w:tcPr>
            <w:tcW w:type="dxa" w:w="1234"/>
          </w:tcPr>
          <w:p>
            <w:r>
              <w:rPr>
                <w:rFonts w:ascii="Calibri" w:hAnsi="Calibri"/>
                <w:sz w:val="22"/>
              </w:rPr>
              <w:t>+290 bps YoY</w:t>
            </w:r>
          </w:p>
        </w:tc>
        <w:tc>
          <w:tcPr>
            <w:tcW w:type="dxa" w:w="1234"/>
          </w:tcPr>
          <w:p>
            <w:r>
              <w:rPr>
                <w:rFonts w:ascii="Calibri" w:hAnsi="Calibri"/>
                <w:sz w:val="22"/>
              </w:rPr>
              <w:t>10–12% (FY)</w:t>
            </w:r>
          </w:p>
        </w:tc>
        <w:tc>
          <w:tcPr>
            <w:tcW w:type="dxa" w:w="1234"/>
          </w:tcPr>
          <w:p>
            <w:r>
              <w:rPr>
                <w:rFonts w:ascii="Calibri" w:hAnsi="Calibri"/>
                <w:sz w:val="22"/>
              </w:rPr>
              <w:t>Well above FY range</w:t>
            </w:r>
          </w:p>
        </w:tc>
      </w:tr>
      <w:tr>
        <w:tc>
          <w:tcPr>
            <w:tcW w:type="dxa" w:w="1234"/>
          </w:tcPr>
          <w:p>
            <w:r>
              <w:rPr>
                <w:rFonts w:ascii="Calibri" w:hAnsi="Calibri"/>
                <w:sz w:val="22"/>
              </w:rPr>
              <w:t>Energy Revenue ($M)</w:t>
            </w:r>
          </w:p>
        </w:tc>
        <w:tc>
          <w:tcPr>
            <w:tcW w:type="dxa" w:w="1234"/>
          </w:tcPr>
          <w:p>
            <w:r>
              <w:rPr>
                <w:rFonts w:ascii="Calibri" w:hAnsi="Calibri"/>
                <w:sz w:val="22"/>
              </w:rPr>
              <w:t>$724 (recast)</w:t>
            </w:r>
          </w:p>
        </w:tc>
        <w:tc>
          <w:tcPr>
            <w:tcW w:type="dxa" w:w="1234"/>
          </w:tcPr>
          <w:p>
            <w:r>
              <w:rPr>
                <w:rFonts w:ascii="Calibri" w:hAnsi="Calibri"/>
                <w:sz w:val="22"/>
              </w:rPr>
              <w:t>$607 (recast)</w:t>
            </w:r>
          </w:p>
        </w:tc>
        <w:tc>
          <w:tcPr>
            <w:tcW w:type="dxa" w:w="1234"/>
          </w:tcPr>
          <w:p>
            <w:r>
              <w:rPr>
                <w:rFonts w:ascii="Calibri" w:hAnsi="Calibri"/>
                <w:sz w:val="22"/>
              </w:rPr>
              <w:t>$589</w:t>
            </w:r>
          </w:p>
        </w:tc>
        <w:tc>
          <w:tcPr>
            <w:tcW w:type="dxa" w:w="1234"/>
          </w:tcPr>
          <w:p>
            <w:r>
              <w:rPr>
                <w:rFonts w:ascii="Calibri" w:hAnsi="Calibri"/>
                <w:sz w:val="22"/>
              </w:rPr>
              <w:t>−3.0% YoY</w:t>
            </w:r>
          </w:p>
        </w:tc>
        <w:tc>
          <w:tcPr>
            <w:tcW w:type="dxa" w:w="1234"/>
          </w:tcPr>
          <w:p>
            <w:r>
              <w:rPr>
                <w:rFonts w:ascii="Calibri" w:hAnsi="Calibri"/>
                <w:sz w:val="22"/>
              </w:rPr>
              <w:t>Organic CC growth 4–6% (FY, lowered ~1pp at Q1)</w:t>
            </w:r>
          </w:p>
        </w:tc>
        <w:tc>
          <w:tcPr>
            <w:tcW w:type="dxa" w:w="1234"/>
          </w:tcPr>
          <w:p>
            <w:r>
              <w:rPr>
                <w:rFonts w:ascii="Calibri" w:hAnsi="Calibri"/>
                <w:sz w:val="22"/>
              </w:rPr>
              <w:t>Below FY range (guided)</w:t>
            </w:r>
          </w:p>
        </w:tc>
      </w:tr>
      <w:tr>
        <w:tc>
          <w:tcPr>
            <w:tcW w:type="dxa" w:w="1234"/>
          </w:tcPr>
          <w:p>
            <w:r>
              <w:rPr>
                <w:rFonts w:ascii="Calibri" w:hAnsi="Calibri"/>
                <w:sz w:val="22"/>
              </w:rPr>
              <w:t>Energy Organic Growth (%)</w:t>
            </w:r>
          </w:p>
        </w:tc>
        <w:tc>
          <w:tcPr>
            <w:tcW w:type="dxa" w:w="1234"/>
          </w:tcPr>
          <w:p>
            <w:r>
              <w:rPr>
                <w:rFonts w:ascii="Calibri" w:hAnsi="Calibri"/>
                <w:sz w:val="22"/>
              </w:rPr>
              <w:t>6.5%</w:t>
            </w:r>
          </w:p>
        </w:tc>
        <w:tc>
          <w:tcPr>
            <w:tcW w:type="dxa" w:w="1234"/>
          </w:tcPr>
          <w:p>
            <w:r>
              <w:rPr>
                <w:rFonts w:ascii="Calibri" w:hAnsi="Calibri"/>
                <w:sz w:val="22"/>
              </w:rPr>
              <w:t>7.6%</w:t>
            </w:r>
          </w:p>
        </w:tc>
        <w:tc>
          <w:tcPr>
            <w:tcW w:type="dxa" w:w="1234"/>
          </w:tcPr>
          <w:p>
            <w:r>
              <w:rPr>
                <w:rFonts w:ascii="Calibri" w:hAnsi="Calibri"/>
                <w:sz w:val="22"/>
              </w:rPr>
              <w:t>6.0%</w:t>
            </w:r>
          </w:p>
        </w:tc>
        <w:tc>
          <w:tcPr>
            <w:tcW w:type="dxa" w:w="1234"/>
          </w:tcPr>
          <w:p>
            <w:r>
              <w:rPr>
                <w:rFonts w:ascii="Calibri" w:hAnsi="Calibri"/>
                <w:sz w:val="22"/>
              </w:rPr>
              <w:t>−60 bps YoY</w:t>
            </w:r>
          </w:p>
        </w:tc>
        <w:tc>
          <w:tcPr>
            <w:tcW w:type="dxa" w:w="1234"/>
          </w:tcPr>
          <w:p>
            <w:r>
              <w:rPr>
                <w:rFonts w:ascii="Calibri" w:hAnsi="Calibri"/>
                <w:sz w:val="22"/>
              </w:rPr>
              <w:t>4–6% (FY, lowered)</w:t>
            </w:r>
          </w:p>
        </w:tc>
        <w:tc>
          <w:tcPr>
            <w:tcW w:type="dxa" w:w="1234"/>
          </w:tcPr>
          <w:p>
            <w:r>
              <w:rPr>
                <w:rFonts w:ascii="Calibri" w:hAnsi="Calibri"/>
                <w:sz w:val="22"/>
              </w:rPr>
              <w:t>Within range</w:t>
            </w:r>
          </w:p>
        </w:tc>
      </w:tr>
    </w:tbl>
    <w:p>
      <w:r>
        <w:rPr>
          <w:rFonts w:ascii="Calibri" w:hAnsi="Calibri"/>
          <w:i/>
          <w:color w:val="525866"/>
          <w:sz w:val="22"/>
        </w:rPr>
        <w:t>Source: Visible Alpha consensus and actuals. Note: Q2 2025 revenue figures shown on both reported and pro forma recast basis (post-Mobility spin-off) where applicable. Recast figures reflect the July 6, 2026 pro forma recast published by SPGI following the Mobility Global (MBGL) spin-off completion on July 1, 2026. Energy Q2 2026 consensus is expected to fall below the full-year guidance range, as explicitly guided by management at Q1 2026 earnings.</w:t>
      </w:r>
    </w:p>
    <w:p>
      <w:pPr>
        <w:pStyle w:val="Heading2"/>
      </w:pPr>
      <w:r>
        <w:rPr>
          <w:rFonts w:ascii="Calibri" w:hAnsi="Calibri"/>
          <w:b/>
          <w:color w:val="3B4259"/>
          <w:sz w:val="28"/>
        </w:rPr>
        <w:t>Table 2 — Beat/Miss History (Last 8 Quarters, Top 2 KPIs)</w:t>
      </w:r>
    </w:p>
    <w:p>
      <w:r>
        <w:rPr>
          <w:rFonts w:ascii="Calibri" w:hAnsi="Calibri"/>
          <w:b/>
          <w:color w:val="525866"/>
          <w:sz w:val="22"/>
        </w:rPr>
        <w:t>Top 2 KPIs: (1) Adjusted Diluted EPS, (2) Ratings Organic Constant Currency Growth</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N/A — pre-recast period</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N/A — pre-recast period</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N/A — pre-recast period</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N/A — pre-recast period</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$4.43</w:t>
            </w:r>
          </w:p>
        </w:tc>
        <w:tc>
          <w:tcPr>
            <w:tcW w:type="dxa" w:w="1440"/>
          </w:tcPr>
          <w:p>
            <w:r>
              <w:rPr>
                <w:rFonts w:ascii="Calibri" w:hAnsi="Calibri"/>
                <w:sz w:val="22"/>
              </w:rPr>
              <w:t>$4.22</w:t>
            </w:r>
          </w:p>
        </w:tc>
        <w:tc>
          <w:tcPr>
            <w:tcW w:type="dxa" w:w="1440"/>
          </w:tcPr>
          <w:p>
            <w:r>
              <w:rPr>
                <w:rFonts w:ascii="Calibri" w:hAnsi="Calibri"/>
                <w:b/>
                <w:color w:val="30A46C"/>
                <w:sz w:val="22"/>
              </w:rPr>
              <w:t>+5.0%</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Ratings Organic Growth</w:t>
            </w:r>
          </w:p>
        </w:tc>
        <w:tc>
          <w:tcPr>
            <w:tcW w:type="dxa" w:w="1440"/>
          </w:tcPr>
          <w:p>
            <w:r>
              <w:rPr>
                <w:rFonts w:ascii="Calibri" w:hAnsi="Calibri"/>
                <w:sz w:val="22"/>
              </w:rPr>
              <w:t>1.1%</w:t>
            </w:r>
          </w:p>
        </w:tc>
        <w:tc>
          <w:tcPr>
            <w:tcW w:type="dxa" w:w="1440"/>
          </w:tcPr>
          <w:p>
            <w:r>
              <w:rPr>
                <w:rFonts w:ascii="Calibri" w:hAnsi="Calibri"/>
                <w:sz w:val="22"/>
              </w:rPr>
              <w:t>−3.5%</w:t>
            </w:r>
          </w:p>
        </w:tc>
        <w:tc>
          <w:tcPr>
            <w:tcW w:type="dxa" w:w="1440"/>
          </w:tcPr>
          <w:p>
            <w:r>
              <w:rPr>
                <w:rFonts w:ascii="Calibri" w:hAnsi="Calibri"/>
                <w:b/>
                <w:color w:val="30A46C"/>
                <w:sz w:val="22"/>
              </w:rPr>
              <w:t>+460 bps</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$4.73</w:t>
            </w:r>
          </w:p>
        </w:tc>
        <w:tc>
          <w:tcPr>
            <w:tcW w:type="dxa" w:w="1440"/>
          </w:tcPr>
          <w:p>
            <w:r>
              <w:rPr>
                <w:rFonts w:ascii="Calibri" w:hAnsi="Calibri"/>
                <w:sz w:val="22"/>
              </w:rPr>
              <w:t>$4.41</w:t>
            </w:r>
          </w:p>
        </w:tc>
        <w:tc>
          <w:tcPr>
            <w:tcW w:type="dxa" w:w="1440"/>
          </w:tcPr>
          <w:p>
            <w:r>
              <w:rPr>
                <w:rFonts w:ascii="Calibri" w:hAnsi="Calibri"/>
                <w:b/>
                <w:color w:val="30A46C"/>
                <w:sz w:val="22"/>
              </w:rPr>
              <w:t>+7.3%</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Ratings Organic Growth</w:t>
            </w:r>
          </w:p>
        </w:tc>
        <w:tc>
          <w:tcPr>
            <w:tcW w:type="dxa" w:w="1440"/>
          </w:tcPr>
          <w:p>
            <w:r>
              <w:rPr>
                <w:rFonts w:ascii="Calibri" w:hAnsi="Calibri"/>
                <w:sz w:val="22"/>
              </w:rPr>
              <w:t>11.7%</w:t>
            </w:r>
          </w:p>
        </w:tc>
        <w:tc>
          <w:tcPr>
            <w:tcW w:type="dxa" w:w="1440"/>
          </w:tcPr>
          <w:p>
            <w:r>
              <w:rPr>
                <w:rFonts w:ascii="Calibri" w:hAnsi="Calibri"/>
                <w:sz w:val="22"/>
              </w:rPr>
              <w:t>9.8%</w:t>
            </w:r>
          </w:p>
        </w:tc>
        <w:tc>
          <w:tcPr>
            <w:tcW w:type="dxa" w:w="1440"/>
          </w:tcPr>
          <w:p>
            <w:r>
              <w:rPr>
                <w:rFonts w:ascii="Calibri" w:hAnsi="Calibri"/>
                <w:b/>
                <w:color w:val="30A46C"/>
                <w:sz w:val="22"/>
              </w:rPr>
              <w:t>+190 bps</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$4.30</w:t>
            </w:r>
          </w:p>
        </w:tc>
        <w:tc>
          <w:tcPr>
            <w:tcW w:type="dxa" w:w="1440"/>
          </w:tcPr>
          <w:p>
            <w:r>
              <w:rPr>
                <w:rFonts w:ascii="Calibri" w:hAnsi="Calibri"/>
                <w:sz w:val="22"/>
              </w:rPr>
              <w:t>$4.33</w:t>
            </w:r>
          </w:p>
        </w:tc>
        <w:tc>
          <w:tcPr>
            <w:tcW w:type="dxa" w:w="1440"/>
          </w:tcPr>
          <w:p>
            <w:r>
              <w:rPr>
                <w:rFonts w:ascii="Calibri" w:hAnsi="Calibri"/>
                <w:b/>
                <w:color w:val="E5484D"/>
                <w:sz w:val="22"/>
              </w:rPr>
              <w:t>−0.7%</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Ratings Organic Growth</w:t>
            </w:r>
          </w:p>
        </w:tc>
        <w:tc>
          <w:tcPr>
            <w:tcW w:type="dxa" w:w="1440"/>
          </w:tcPr>
          <w:p>
            <w:r>
              <w:rPr>
                <w:rFonts w:ascii="Calibri" w:hAnsi="Calibri"/>
                <w:sz w:val="22"/>
              </w:rPr>
              <w:t>11.8%</w:t>
            </w:r>
          </w:p>
        </w:tc>
        <w:tc>
          <w:tcPr>
            <w:tcW w:type="dxa" w:w="1440"/>
          </w:tcPr>
          <w:p>
            <w:r>
              <w:rPr>
                <w:rFonts w:ascii="Calibri" w:hAnsi="Calibri"/>
                <w:sz w:val="22"/>
              </w:rPr>
              <w:t>14.1%</w:t>
            </w:r>
          </w:p>
        </w:tc>
        <w:tc>
          <w:tcPr>
            <w:tcW w:type="dxa" w:w="1440"/>
          </w:tcPr>
          <w:p>
            <w:r>
              <w:rPr>
                <w:rFonts w:ascii="Calibri" w:hAnsi="Calibri"/>
                <w:b/>
                <w:color w:val="E5484D"/>
                <w:sz w:val="22"/>
              </w:rPr>
              <w:t>−230 bps</w:t>
            </w:r>
          </w:p>
        </w:tc>
        <w:tc>
          <w:tcPr>
            <w:tcW w:type="dxa" w:w="1440"/>
          </w:tcPr>
          <w:p>
            <w:r>
              <w:rPr>
                <w:rFonts w:ascii="Calibri" w:hAnsi="Calibri"/>
                <w:b/>
                <w:color w:val="E5484D"/>
                <w:sz w:val="22"/>
              </w:rPr>
              <w:t>Miss</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$4.97</w:t>
            </w:r>
          </w:p>
        </w:tc>
        <w:tc>
          <w:tcPr>
            <w:tcW w:type="dxa" w:w="1440"/>
          </w:tcPr>
          <w:p>
            <w:r>
              <w:rPr>
                <w:rFonts w:ascii="Calibri" w:hAnsi="Calibri"/>
                <w:sz w:val="22"/>
              </w:rPr>
              <w:t>$4.81</w:t>
            </w:r>
          </w:p>
        </w:tc>
        <w:tc>
          <w:tcPr>
            <w:tcW w:type="dxa" w:w="1440"/>
          </w:tcPr>
          <w:p>
            <w:r>
              <w:rPr>
                <w:rFonts w:ascii="Calibri" w:hAnsi="Calibri"/>
                <w:b/>
                <w:color w:val="30A46C"/>
                <w:sz w:val="22"/>
              </w:rPr>
              <w:t>+3.3%</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Ratings Organic Growth</w:t>
            </w:r>
          </w:p>
        </w:tc>
        <w:tc>
          <w:tcPr>
            <w:tcW w:type="dxa" w:w="1440"/>
          </w:tcPr>
          <w:p>
            <w:r>
              <w:rPr>
                <w:rFonts w:ascii="Calibri" w:hAnsi="Calibri"/>
                <w:sz w:val="22"/>
              </w:rPr>
              <w:t>13.3%</w:t>
            </w:r>
          </w:p>
        </w:tc>
        <w:tc>
          <w:tcPr>
            <w:tcW w:type="dxa" w:w="1440"/>
          </w:tcPr>
          <w:p>
            <w:r>
              <w:rPr>
                <w:rFonts w:ascii="Calibri" w:hAnsi="Calibri"/>
                <w:sz w:val="22"/>
              </w:rPr>
              <w:t>7.7%</w:t>
            </w:r>
          </w:p>
        </w:tc>
        <w:tc>
          <w:tcPr>
            <w:tcW w:type="dxa" w:w="1440"/>
          </w:tcPr>
          <w:p>
            <w:r>
              <w:rPr>
                <w:rFonts w:ascii="Calibri" w:hAnsi="Calibri"/>
                <w:b/>
                <w:color w:val="30A46C"/>
                <w:sz w:val="22"/>
              </w:rPr>
              <w:t>+560 bps</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SPGI has beaten on adj. EPS in 3 of the last 4 quarters with the sole miss in Q4 2025 driven by a one-time tax item and elevated deal-related costs. Ratings organic growth has consistently surprised to the upside except in Q4 2025 when the prior-year comp was particularly strong. The pattern of EPS beats is durable and driven by systematic margin expansion and productivity gains. Source: Visible Alpha consensus and actuals.</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Full-year guidance was reiterated at Q1 2026 across all divisions except Energy (lowered ~1pp). No post-earnings guidance revisions have been issued. The Mobility spin-off means SPGI will provide updated FY2026 guidance on a post-Mobility basis with Q2 results — this is the most important guidance event heading into the print.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Adj. Diluted EPS</w:t>
            </w:r>
          </w:p>
        </w:tc>
        <w:tc>
          <w:tcPr>
            <w:tcW w:type="dxa" w:w="1728"/>
          </w:tcPr>
          <w:p>
            <w:r>
              <w:rPr>
                <w:rFonts w:ascii="Calibri" w:hAnsi="Calibri"/>
                <w:sz w:val="22"/>
              </w:rPr>
              <w:t>$19.40–$19.65</w:t>
            </w:r>
          </w:p>
        </w:tc>
        <w:tc>
          <w:tcPr>
            <w:tcW w:type="dxa" w:w="1728"/>
          </w:tcPr>
          <w:p>
            <w:r>
              <w:rPr>
                <w:rFonts w:ascii="Calibri" w:hAnsi="Calibri"/>
                <w:sz w:val="22"/>
              </w:rPr>
              <w:t>—</w:t>
            </w:r>
          </w:p>
        </w:tc>
        <w:tc>
          <w:tcPr>
            <w:tcW w:type="dxa" w:w="1728"/>
          </w:tcPr>
          <w:p>
            <w:r>
              <w:rPr>
                <w:rFonts w:ascii="Calibri" w:hAnsi="Calibri"/>
                <w:sz w:val="22"/>
              </w:rPr>
              <w:t>$19.48</w:t>
            </w:r>
          </w:p>
        </w:tc>
        <w:tc>
          <w:tcPr>
            <w:tcW w:type="dxa" w:w="1728"/>
          </w:tcPr>
          <w:p>
            <w:r>
              <w:rPr>
                <w:rFonts w:ascii="Calibri" w:hAnsi="Calibri"/>
                <w:sz w:val="22"/>
              </w:rPr>
              <w:t>Unchanged; consensus sits just below midpoint ($19.525), implying modest upside cushion. Updated post-Mobility guidance expected July 28.</w:t>
            </w:r>
          </w:p>
        </w:tc>
      </w:tr>
      <w:tr>
        <w:tc>
          <w:tcPr>
            <w:tcW w:type="dxa" w:w="1728"/>
          </w:tcPr>
          <w:p>
            <w:r>
              <w:rPr>
                <w:rFonts w:ascii="Calibri" w:hAnsi="Calibri"/>
                <w:sz w:val="22"/>
              </w:rPr>
              <w:t>FY2026 Total Organic CC Revenue Growth</w:t>
            </w:r>
          </w:p>
        </w:tc>
        <w:tc>
          <w:tcPr>
            <w:tcW w:type="dxa" w:w="1728"/>
          </w:tcPr>
          <w:p>
            <w:r>
              <w:rPr>
                <w:rFonts w:ascii="Calibri" w:hAnsi="Calibri"/>
                <w:sz w:val="22"/>
              </w:rPr>
              <w:t>6–8%</w:t>
            </w:r>
          </w:p>
        </w:tc>
        <w:tc>
          <w:tcPr>
            <w:tcW w:type="dxa" w:w="1728"/>
          </w:tcPr>
          <w:p>
            <w:r>
              <w:rPr>
                <w:rFonts w:ascii="Calibri" w:hAnsi="Calibri"/>
                <w:sz w:val="22"/>
              </w:rPr>
              <w:t>—</w:t>
            </w:r>
          </w:p>
        </w:tc>
        <w:tc>
          <w:tcPr>
            <w:tcW w:type="dxa" w:w="1728"/>
          </w:tcPr>
          <w:p>
            <w:r>
              <w:rPr>
                <w:rFonts w:ascii="Calibri" w:hAnsi="Calibri"/>
                <w:sz w:val="22"/>
              </w:rPr>
              <w:t>~7% (implied by segment consensus)</w:t>
            </w:r>
          </w:p>
        </w:tc>
        <w:tc>
          <w:tcPr>
            <w:tcW w:type="dxa" w:w="1728"/>
          </w:tcPr>
          <w:p>
            <w:r>
              <w:rPr>
                <w:rFonts w:ascii="Calibri" w:hAnsi="Calibri"/>
                <w:sz w:val="22"/>
              </w:rPr>
              <w:t>Unchanged at enterprise level; post-Mobility recast may shift the reported range slightly.</w:t>
            </w:r>
          </w:p>
        </w:tc>
      </w:tr>
      <w:tr>
        <w:tc>
          <w:tcPr>
            <w:tcW w:type="dxa" w:w="1728"/>
          </w:tcPr>
          <w:p>
            <w:r>
              <w:rPr>
                <w:rFonts w:ascii="Calibri" w:hAnsi="Calibri"/>
                <w:sz w:val="22"/>
              </w:rPr>
              <w:t>Ratings Organic CC Growth (FY)</w:t>
            </w:r>
          </w:p>
        </w:tc>
        <w:tc>
          <w:tcPr>
            <w:tcW w:type="dxa" w:w="1728"/>
          </w:tcPr>
          <w:p>
            <w:r>
              <w:rPr>
                <w:rFonts w:ascii="Calibri" w:hAnsi="Calibri"/>
                <w:sz w:val="22"/>
              </w:rPr>
              <w:t>6–9%</w:t>
            </w:r>
          </w:p>
        </w:tc>
        <w:tc>
          <w:tcPr>
            <w:tcW w:type="dxa" w:w="1728"/>
          </w:tcPr>
          <w:p>
            <w:r>
              <w:rPr>
                <w:rFonts w:ascii="Calibri" w:hAnsi="Calibri"/>
                <w:sz w:val="22"/>
              </w:rPr>
              <w:t>—</w:t>
            </w:r>
          </w:p>
        </w:tc>
        <w:tc>
          <w:tcPr>
            <w:tcW w:type="dxa" w:w="1728"/>
          </w:tcPr>
          <w:p>
            <w:r>
              <w:rPr>
                <w:rFonts w:ascii="Calibri" w:hAnsi="Calibri"/>
                <w:sz w:val="22"/>
              </w:rPr>
              <w:t>~7.9%</w:t>
            </w:r>
          </w:p>
        </w:tc>
        <w:tc>
          <w:tcPr>
            <w:tcW w:type="dxa" w:w="1728"/>
          </w:tcPr>
          <w:p>
            <w:r>
              <w:rPr>
                <w:rFonts w:ascii="Calibri" w:hAnsi="Calibri"/>
                <w:sz w:val="22"/>
              </w:rPr>
              <w:t>Unchanged. Management guided Q2 growth to be no higher than Q1 (13.3%), with moderation in Q3 and negative comp in Q4.</w:t>
            </w:r>
          </w:p>
        </w:tc>
      </w:tr>
      <w:tr>
        <w:tc>
          <w:tcPr>
            <w:tcW w:type="dxa" w:w="1728"/>
          </w:tcPr>
          <w:p>
            <w:r>
              <w:rPr>
                <w:rFonts w:ascii="Calibri" w:hAnsi="Calibri"/>
                <w:sz w:val="22"/>
              </w:rPr>
              <w:t>Market Intelligence Organic CC Growth (FY)</w:t>
            </w:r>
          </w:p>
        </w:tc>
        <w:tc>
          <w:tcPr>
            <w:tcW w:type="dxa" w:w="1728"/>
          </w:tcPr>
          <w:p>
            <w:r>
              <w:rPr>
                <w:rFonts w:ascii="Calibri" w:hAnsi="Calibri"/>
                <w:sz w:val="22"/>
              </w:rPr>
              <w:t>6–8%</w:t>
            </w:r>
          </w:p>
        </w:tc>
        <w:tc>
          <w:tcPr>
            <w:tcW w:type="dxa" w:w="1728"/>
          </w:tcPr>
          <w:p>
            <w:r>
              <w:rPr>
                <w:rFonts w:ascii="Calibri" w:hAnsi="Calibri"/>
                <w:sz w:val="22"/>
              </w:rPr>
              <w:t>—</w:t>
            </w:r>
          </w:p>
        </w:tc>
        <w:tc>
          <w:tcPr>
            <w:tcW w:type="dxa" w:w="1728"/>
          </w:tcPr>
          <w:p>
            <w:r>
              <w:rPr>
                <w:rFonts w:ascii="Calibri" w:hAnsi="Calibri"/>
                <w:sz w:val="22"/>
              </w:rPr>
              <w:t>~6.2%</w:t>
            </w:r>
          </w:p>
        </w:tc>
        <w:tc>
          <w:tcPr>
            <w:tcW w:type="dxa" w:w="1728"/>
          </w:tcPr>
          <w:p>
            <w:r>
              <w:rPr>
                <w:rFonts w:ascii="Calibri" w:hAnsi="Calibri"/>
                <w:sz w:val="22"/>
              </w:rPr>
              <w:t>Unchanged. Management guided for subscription revenue acceleration in Q2 driven by strong pipeline and customer traction.</w:t>
            </w:r>
          </w:p>
        </w:tc>
      </w:tr>
      <w:tr>
        <w:tc>
          <w:tcPr>
            <w:tcW w:type="dxa" w:w="1728"/>
          </w:tcPr>
          <w:p>
            <w:r>
              <w:rPr>
                <w:rFonts w:ascii="Calibri" w:hAnsi="Calibri"/>
                <w:sz w:val="22"/>
              </w:rPr>
              <w:t>Indices Organic CC Growth (FY)</w:t>
            </w:r>
          </w:p>
        </w:tc>
        <w:tc>
          <w:tcPr>
            <w:tcW w:type="dxa" w:w="1728"/>
          </w:tcPr>
          <w:p>
            <w:r>
              <w:rPr>
                <w:rFonts w:ascii="Calibri" w:hAnsi="Calibri"/>
                <w:sz w:val="22"/>
              </w:rPr>
              <w:t>10–12%</w:t>
            </w:r>
          </w:p>
        </w:tc>
        <w:tc>
          <w:tcPr>
            <w:tcW w:type="dxa" w:w="1728"/>
          </w:tcPr>
          <w:p>
            <w:r>
              <w:rPr>
                <w:rFonts w:ascii="Calibri" w:hAnsi="Calibri"/>
                <w:sz w:val="22"/>
              </w:rPr>
              <w:t>—</w:t>
            </w:r>
          </w:p>
        </w:tc>
        <w:tc>
          <w:tcPr>
            <w:tcW w:type="dxa" w:w="1728"/>
          </w:tcPr>
          <w:p>
            <w:r>
              <w:rPr>
                <w:rFonts w:ascii="Calibri" w:hAnsi="Calibri"/>
                <w:sz w:val="22"/>
              </w:rPr>
              <w:t>~14.5%</w:t>
            </w:r>
          </w:p>
        </w:tc>
        <w:tc>
          <w:tcPr>
            <w:tcW w:type="dxa" w:w="1728"/>
          </w:tcPr>
          <w:p>
            <w:r>
              <w:rPr>
                <w:rFonts w:ascii="Calibri" w:hAnsi="Calibri"/>
                <w:sz w:val="22"/>
              </w:rPr>
              <w:t>Unchanged. Consensus tracking well above FY range, reflecting record ETF AUM and strong asset-linked fee momentum.</w:t>
            </w:r>
          </w:p>
        </w:tc>
      </w:tr>
      <w:tr>
        <w:tc>
          <w:tcPr>
            <w:tcW w:type="dxa" w:w="1728"/>
          </w:tcPr>
          <w:p>
            <w:r>
              <w:rPr>
                <w:rFonts w:ascii="Calibri" w:hAnsi="Calibri"/>
                <w:sz w:val="22"/>
              </w:rPr>
              <w:t>Energy Organic CC Growth (FY)</w:t>
            </w:r>
          </w:p>
        </w:tc>
        <w:tc>
          <w:tcPr>
            <w:tcW w:type="dxa" w:w="1728"/>
          </w:tcPr>
          <w:p>
            <w:r>
              <w:rPr>
                <w:rFonts w:ascii="Calibri" w:hAnsi="Calibri"/>
                <w:sz w:val="22"/>
              </w:rPr>
              <w:t>~4–6% (lowered ~1pp at Q1 from prior 5–7%)</w:t>
            </w:r>
          </w:p>
        </w:tc>
        <w:tc>
          <w:tcPr>
            <w:tcW w:type="dxa" w:w="1728"/>
          </w:tcPr>
          <w:p>
            <w:r>
              <w:rPr>
                <w:rFonts w:ascii="Calibri" w:hAnsi="Calibri"/>
                <w:sz w:val="22"/>
              </w:rPr>
              <w:t>—</w:t>
            </w:r>
          </w:p>
        </w:tc>
        <w:tc>
          <w:tcPr>
            <w:tcW w:type="dxa" w:w="1728"/>
          </w:tcPr>
          <w:p>
            <w:r>
              <w:rPr>
                <w:rFonts w:ascii="Calibri" w:hAnsi="Calibri"/>
                <w:sz w:val="22"/>
              </w:rPr>
              <w:t>~6.0%</w:t>
            </w:r>
          </w:p>
        </w:tc>
        <w:tc>
          <w:tcPr>
            <w:tcW w:type="dxa" w:w="1728"/>
          </w:tcPr>
          <w:p>
            <w:r>
              <w:rPr>
                <w:rFonts w:ascii="Calibri" w:hAnsi="Calibri"/>
                <w:sz w:val="22"/>
              </w:rPr>
              <w:t>↓ Lowered at Q1 2026 earnings (Apr 28); Iran conflict headwind to subscription revenue and pipeline. Q2 expected below FY range; H2 recovery assumed.</w:t>
            </w:r>
          </w:p>
        </w:tc>
      </w:tr>
      <w:tr>
        <w:tc>
          <w:tcPr>
            <w:tcW w:type="dxa" w:w="1728"/>
          </w:tcPr>
          <w:p>
            <w:r>
              <w:rPr>
                <w:rFonts w:ascii="Calibri" w:hAnsi="Calibri"/>
                <w:sz w:val="22"/>
              </w:rPr>
              <w:t>Adj. Operating Margin (FY)</w:t>
            </w:r>
          </w:p>
        </w:tc>
        <w:tc>
          <w:tcPr>
            <w:tcW w:type="dxa" w:w="1728"/>
          </w:tcPr>
          <w:p>
            <w:r>
              <w:rPr>
                <w:rFonts w:ascii="Calibri" w:hAnsi="Calibri"/>
                <w:sz w:val="22"/>
              </w:rPr>
              <w:t>Expansion in every division; 50–75 bps annual target</w:t>
            </w:r>
          </w:p>
        </w:tc>
        <w:tc>
          <w:tcPr>
            <w:tcW w:type="dxa" w:w="1728"/>
          </w:tcPr>
          <w:p>
            <w:r>
              <w:rPr>
                <w:rFonts w:ascii="Calibri" w:hAnsi="Calibri"/>
                <w:sz w:val="22"/>
              </w:rPr>
              <w:t>—</w:t>
            </w:r>
          </w:p>
        </w:tc>
        <w:tc>
          <w:tcPr>
            <w:tcW w:type="dxa" w:w="1728"/>
          </w:tcPr>
          <w:p>
            <w:r>
              <w:rPr>
                <w:rFonts w:ascii="Calibri" w:hAnsi="Calibri"/>
                <w:sz w:val="22"/>
              </w:rPr>
              <w:t>~51.0%</w:t>
            </w:r>
          </w:p>
        </w:tc>
        <w:tc>
          <w:tcPr>
            <w:tcW w:type="dxa" w:w="1728"/>
          </w:tcPr>
          <w:p>
            <w:r>
              <w:rPr>
                <w:rFonts w:ascii="Calibri" w:hAnsi="Calibri"/>
                <w:sz w:val="22"/>
              </w:rPr>
              <w:t>Unchanged. Management committed to systematic expansion; AI-driven productivity upside not yet in guidance.</w:t>
            </w:r>
          </w:p>
        </w:tc>
      </w:tr>
      <w:tr>
        <w:tc>
          <w:tcPr>
            <w:tcW w:type="dxa" w:w="1728"/>
          </w:tcPr>
          <w:p>
            <w:r>
              <w:rPr>
                <w:rFonts w:ascii="Calibri" w:hAnsi="Calibri"/>
                <w:sz w:val="22"/>
              </w:rPr>
              <w:t>FY2026 GAAP Guidance</w:t>
            </w:r>
          </w:p>
        </w:tc>
        <w:tc>
          <w:tcPr>
            <w:tcW w:type="dxa" w:w="1728"/>
          </w:tcPr>
          <w:p>
            <w:r>
              <w:rPr>
                <w:rFonts w:ascii="Calibri" w:hAnsi="Calibri"/>
                <w:sz w:val="22"/>
              </w:rPr>
              <w:t>Not provided (Mobility still consolidated)</w:t>
            </w:r>
          </w:p>
        </w:tc>
        <w:tc>
          <w:tcPr>
            <w:tcW w:type="dxa" w:w="1728"/>
          </w:tcPr>
          <w:p>
            <w:r>
              <w:rPr>
                <w:rFonts w:ascii="Calibri" w:hAnsi="Calibri"/>
                <w:sz w:val="22"/>
              </w:rPr>
              <w:t>To be introduced July 28</w:t>
            </w:r>
          </w:p>
        </w:tc>
        <w:tc>
          <w:tcPr>
            <w:tcW w:type="dxa" w:w="1728"/>
          </w:tcPr>
          <w:p>
            <w:r>
              <w:rPr>
                <w:rFonts w:ascii="Calibri" w:hAnsi="Calibri"/>
                <w:sz w:val="22"/>
              </w:rPr>
              <w:t>N/A</w:t>
            </w:r>
          </w:p>
        </w:tc>
        <w:tc>
          <w:tcPr>
            <w:tcW w:type="dxa" w:w="1728"/>
          </w:tcPr>
          <w:p>
            <w:r>
              <w:rPr>
                <w:rFonts w:ascii="Calibri" w:hAnsi="Calibri"/>
                <w:sz w:val="22"/>
              </w:rPr>
              <w:t>↑ New: SPGI to introduce 2026 GAAP guidance and update adjusted guidance reflecting Mobility exclusion with Q2 results. Key event for the print.</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have been broadly stable-to-slightly-higher since Q1 earnings, with Indices consensus tracking well above the FY guidance range and Ratings consensus also above the midpoint. The gap between Indices consensus and guidance represents potential upside cushion, not risk. Energy is the only division where consensus is tracking below the FY guidance range, consistent with management’s explicit Q2 guidance.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3,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Adj. EPS — Q2 2026</w:t>
            </w:r>
          </w:p>
        </w:tc>
        <w:tc>
          <w:tcPr>
            <w:tcW w:type="dxa" w:w="1080"/>
          </w:tcPr>
          <w:p>
            <w:r>
              <w:rPr>
                <w:rFonts w:ascii="Calibri" w:hAnsi="Calibri"/>
                <w:sz w:val="22"/>
              </w:rPr>
              <w:t>$4.93</w:t>
            </w:r>
          </w:p>
        </w:tc>
        <w:tc>
          <w:tcPr>
            <w:tcW w:type="dxa" w:w="1080"/>
          </w:tcPr>
          <w:p>
            <w:r>
              <w:rPr>
                <w:rFonts w:ascii="Calibri" w:hAnsi="Calibri"/>
                <w:sz w:val="22"/>
              </w:rPr>
              <w:t>$4.95</w:t>
            </w:r>
          </w:p>
        </w:tc>
        <w:tc>
          <w:tcPr>
            <w:tcW w:type="dxa" w:w="1080"/>
          </w:tcPr>
          <w:p>
            <w:r>
              <w:rPr>
                <w:rFonts w:ascii="Calibri" w:hAnsi="Calibri"/>
                <w:sz w:val="22"/>
              </w:rPr>
              <w:t>+0.4%</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FY2026</w:t>
            </w:r>
          </w:p>
        </w:tc>
        <w:tc>
          <w:tcPr>
            <w:tcW w:type="dxa" w:w="1080"/>
          </w:tcPr>
          <w:p>
            <w:r>
              <w:rPr>
                <w:rFonts w:ascii="Calibri" w:hAnsi="Calibri"/>
                <w:sz w:val="22"/>
              </w:rPr>
              <w:t>$19.62</w:t>
            </w:r>
          </w:p>
        </w:tc>
        <w:tc>
          <w:tcPr>
            <w:tcW w:type="dxa" w:w="1080"/>
          </w:tcPr>
          <w:p>
            <w:r>
              <w:rPr>
                <w:rFonts w:ascii="Calibri" w:hAnsi="Calibri"/>
                <w:sz w:val="22"/>
              </w:rPr>
              <w:t>$19.48</w:t>
            </w:r>
          </w:p>
        </w:tc>
        <w:tc>
          <w:tcPr>
            <w:tcW w:type="dxa" w:w="1080"/>
          </w:tcPr>
          <w:p>
            <w:r>
              <w:rPr>
                <w:rFonts w:ascii="Calibri" w:hAnsi="Calibri"/>
                <w:sz w:val="22"/>
              </w:rPr>
              <w:t>−0.7%</w:t>
            </w:r>
          </w:p>
        </w:tc>
        <w:tc>
          <w:tcPr>
            <w:tcW w:type="dxa" w:w="1080"/>
          </w:tcPr>
          <w:p>
            <w:r>
              <w:rPr>
                <w:rFonts w:ascii="Calibri" w:hAnsi="Calibri"/>
                <w:sz w:val="22"/>
              </w:rPr>
              <w:t>$19.40–$19.65</w:t>
            </w:r>
          </w:p>
        </w:tc>
        <w:tc>
          <w:tcPr>
            <w:tcW w:type="dxa" w:w="1080"/>
          </w:tcPr>
          <w:p>
            <w:r>
              <w:rPr>
                <w:rFonts w:ascii="Calibri" w:hAnsi="Calibri"/>
                <w:sz w:val="22"/>
              </w:rPr>
              <w:t>$19.40–$19.65 (unchanged; post-Mobility update pending)</w:t>
            </w:r>
          </w:p>
        </w:tc>
        <w:tc>
          <w:tcPr>
            <w:tcW w:type="dxa" w:w="1080"/>
          </w:tcPr>
          <w:p>
            <w:r>
              <w:rPr>
                <w:rFonts w:ascii="Calibri" w:hAnsi="Calibri"/>
                <w:sz w:val="22"/>
              </w:rPr>
              <w:t>Unchanged</w:t>
            </w:r>
          </w:p>
        </w:tc>
        <w:tc>
          <w:tcPr>
            <w:tcW w:type="dxa" w:w="1080"/>
          </w:tcPr>
          <w:p>
            <w:r>
              <w:rPr>
                <w:rFonts w:ascii="Calibri" w:hAnsi="Calibri"/>
                <w:sz w:val="22"/>
              </w:rPr>
              <w:t>−0.4% vs. midpoint</w:t>
            </w:r>
          </w:p>
        </w:tc>
      </w:tr>
      <w:tr>
        <w:tc>
          <w:tcPr>
            <w:tcW w:type="dxa" w:w="1080"/>
          </w:tcPr>
          <w:p>
            <w:r>
              <w:rPr>
                <w:rFonts w:ascii="Calibri" w:hAnsi="Calibri"/>
                <w:sz w:val="22"/>
              </w:rPr>
              <w:t>Total Revenue — Q2 2026 ($M)</w:t>
            </w:r>
          </w:p>
        </w:tc>
        <w:tc>
          <w:tcPr>
            <w:tcW w:type="dxa" w:w="1080"/>
          </w:tcPr>
          <w:p>
            <w:r>
              <w:rPr>
                <w:rFonts w:ascii="Calibri" w:hAnsi="Calibri"/>
                <w:sz w:val="22"/>
              </w:rPr>
              <w:t>$4,064</w:t>
            </w:r>
          </w:p>
        </w:tc>
        <w:tc>
          <w:tcPr>
            <w:tcW w:type="dxa" w:w="1080"/>
          </w:tcPr>
          <w:p>
            <w:r>
              <w:rPr>
                <w:rFonts w:ascii="Calibri" w:hAnsi="Calibri"/>
                <w:sz w:val="22"/>
              </w:rPr>
              <w:t>$4,111</w:t>
            </w:r>
          </w:p>
        </w:tc>
        <w:tc>
          <w:tcPr>
            <w:tcW w:type="dxa" w:w="1080"/>
          </w:tcPr>
          <w:p>
            <w:r>
              <w:rPr>
                <w:rFonts w:ascii="Calibri" w:hAnsi="Calibri"/>
                <w:sz w:val="22"/>
              </w:rPr>
              <w:t>+1.2%</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FY2026 ($M)</w:t>
            </w:r>
          </w:p>
        </w:tc>
        <w:tc>
          <w:tcPr>
            <w:tcW w:type="dxa" w:w="1080"/>
          </w:tcPr>
          <w:p>
            <w:r>
              <w:rPr>
                <w:rFonts w:ascii="Calibri" w:hAnsi="Calibri"/>
                <w:sz w:val="22"/>
              </w:rPr>
              <w:t>$16,521</w:t>
            </w:r>
          </w:p>
        </w:tc>
        <w:tc>
          <w:tcPr>
            <w:tcW w:type="dxa" w:w="1080"/>
          </w:tcPr>
          <w:p>
            <w:r>
              <w:rPr>
                <w:rFonts w:ascii="Calibri" w:hAnsi="Calibri"/>
                <w:sz w:val="22"/>
              </w:rPr>
              <w:t>$16,176</w:t>
            </w:r>
          </w:p>
        </w:tc>
        <w:tc>
          <w:tcPr>
            <w:tcW w:type="dxa" w:w="1080"/>
          </w:tcPr>
          <w:p>
            <w:r>
              <w:rPr>
                <w:rFonts w:ascii="Calibri" w:hAnsi="Calibri"/>
                <w:sz w:val="22"/>
              </w:rPr>
              <w:t>−2.1%</w:t>
            </w:r>
          </w:p>
        </w:tc>
        <w:tc>
          <w:tcPr>
            <w:tcW w:type="dxa" w:w="1080"/>
          </w:tcPr>
          <w:p>
            <w:r>
              <w:rPr>
                <w:rFonts w:ascii="Calibri" w:hAnsi="Calibri"/>
                <w:sz w:val="22"/>
              </w:rPr>
              <w:t>Organic CC 6–8%</w:t>
            </w:r>
          </w:p>
        </w:tc>
        <w:tc>
          <w:tcPr>
            <w:tcW w:type="dxa" w:w="1080"/>
          </w:tcPr>
          <w:p>
            <w:r>
              <w:rPr>
                <w:rFonts w:ascii="Calibri" w:hAnsi="Calibri"/>
                <w:sz w:val="22"/>
              </w:rPr>
              <w:t>Organic CC 6–8% (unchanged; post-Mobility update pending)</w:t>
            </w:r>
          </w:p>
        </w:tc>
        <w:tc>
          <w:tcPr>
            <w:tcW w:type="dxa" w:w="1080"/>
          </w:tcPr>
          <w:p>
            <w:r>
              <w:rPr>
                <w:rFonts w:ascii="Calibri" w:hAnsi="Calibri"/>
                <w:sz w:val="22"/>
              </w:rPr>
              <w:t>Unchanged</w:t>
            </w:r>
          </w:p>
        </w:tc>
        <w:tc>
          <w:tcPr>
            <w:tcW w:type="dxa" w:w="1080"/>
          </w:tcPr>
          <w:p>
            <w:r>
              <w:rPr>
                <w:rFonts w:ascii="Calibri" w:hAnsi="Calibri"/>
                <w:sz w:val="22"/>
              </w:rPr>
              <w:t>Within range</w:t>
            </w:r>
          </w:p>
        </w:tc>
      </w:tr>
      <w:tr>
        <w:tc>
          <w:tcPr>
            <w:tcW w:type="dxa" w:w="1080"/>
          </w:tcPr>
          <w:p>
            <w:r>
              <w:rPr>
                <w:rFonts w:ascii="Calibri" w:hAnsi="Calibri"/>
                <w:sz w:val="22"/>
              </w:rPr>
              <w:t>Ratings Organic Growth — Q2 2026</w:t>
            </w:r>
          </w:p>
        </w:tc>
        <w:tc>
          <w:tcPr>
            <w:tcW w:type="dxa" w:w="1080"/>
          </w:tcPr>
          <w:p>
            <w:r>
              <w:rPr>
                <w:rFonts w:ascii="Calibri" w:hAnsi="Calibri"/>
                <w:sz w:val="22"/>
              </w:rPr>
              <w:t>10.2%</w:t>
            </w:r>
          </w:p>
        </w:tc>
        <w:tc>
          <w:tcPr>
            <w:tcW w:type="dxa" w:w="1080"/>
          </w:tcPr>
          <w:p>
            <w:r>
              <w:rPr>
                <w:rFonts w:ascii="Calibri" w:hAnsi="Calibri"/>
                <w:sz w:val="22"/>
              </w:rPr>
              <w:t>13.1%</w:t>
            </w:r>
          </w:p>
        </w:tc>
        <w:tc>
          <w:tcPr>
            <w:tcW w:type="dxa" w:w="1080"/>
          </w:tcPr>
          <w:p>
            <w:r>
              <w:rPr>
                <w:rFonts w:ascii="Calibri" w:hAnsi="Calibri"/>
                <w:sz w:val="22"/>
              </w:rPr>
              <w:t>+290 bps</w:t>
            </w:r>
          </w:p>
        </w:tc>
        <w:tc>
          <w:tcPr>
            <w:tcW w:type="dxa" w:w="1080"/>
          </w:tcPr>
          <w:p>
            <w:r>
              <w:rPr>
                <w:rFonts w:ascii="Calibri" w:hAnsi="Calibri"/>
                <w:sz w:val="22"/>
              </w:rPr>
              <w:t>6–9% (FY)</w:t>
            </w:r>
          </w:p>
        </w:tc>
        <w:tc>
          <w:tcPr>
            <w:tcW w:type="dxa" w:w="1080"/>
          </w:tcPr>
          <w:p>
            <w:r>
              <w:rPr>
                <w:rFonts w:ascii="Calibri" w:hAnsi="Calibri"/>
                <w:sz w:val="22"/>
              </w:rPr>
              <w:t>6–9% (FY, unchanged)</w:t>
            </w:r>
          </w:p>
        </w:tc>
        <w:tc>
          <w:tcPr>
            <w:tcW w:type="dxa" w:w="1080"/>
          </w:tcPr>
          <w:p>
            <w:r>
              <w:rPr>
                <w:rFonts w:ascii="Calibri" w:hAnsi="Calibri"/>
                <w:sz w:val="22"/>
              </w:rPr>
              <w:t>Unchanged</w:t>
            </w:r>
          </w:p>
        </w:tc>
        <w:tc>
          <w:tcPr>
            <w:tcW w:type="dxa" w:w="1080"/>
          </w:tcPr>
          <w:p>
            <w:r>
              <w:rPr>
                <w:rFonts w:ascii="Calibri" w:hAnsi="Calibri"/>
                <w:sz w:val="22"/>
              </w:rPr>
              <w:t>Well above FY range</w:t>
            </w:r>
          </w:p>
        </w:tc>
      </w:tr>
      <w:tr>
        <w:tc>
          <w:tcPr>
            <w:tcW w:type="dxa" w:w="1080"/>
          </w:tcPr>
          <w:p>
            <w:r>
              <w:rPr>
                <w:rFonts w:ascii="Calibri" w:hAnsi="Calibri"/>
                <w:sz w:val="22"/>
              </w:rPr>
              <w:t>Ratings Organic Growth — FY2026</w:t>
            </w:r>
          </w:p>
        </w:tc>
        <w:tc>
          <w:tcPr>
            <w:tcW w:type="dxa" w:w="1080"/>
          </w:tcPr>
          <w:p>
            <w:r>
              <w:rPr>
                <w:rFonts w:ascii="Calibri" w:hAnsi="Calibri"/>
                <w:sz w:val="22"/>
              </w:rPr>
              <w:t>7.3%</w:t>
            </w:r>
          </w:p>
        </w:tc>
        <w:tc>
          <w:tcPr>
            <w:tcW w:type="dxa" w:w="1080"/>
          </w:tcPr>
          <w:p>
            <w:r>
              <w:rPr>
                <w:rFonts w:ascii="Calibri" w:hAnsi="Calibri"/>
                <w:sz w:val="22"/>
              </w:rPr>
              <w:t>7.9%</w:t>
            </w:r>
          </w:p>
        </w:tc>
        <w:tc>
          <w:tcPr>
            <w:tcW w:type="dxa" w:w="1080"/>
          </w:tcPr>
          <w:p>
            <w:r>
              <w:rPr>
                <w:rFonts w:ascii="Calibri" w:hAnsi="Calibri"/>
                <w:sz w:val="22"/>
              </w:rPr>
              <w:t>+60 bps</w:t>
            </w:r>
          </w:p>
        </w:tc>
        <w:tc>
          <w:tcPr>
            <w:tcW w:type="dxa" w:w="1080"/>
          </w:tcPr>
          <w:p>
            <w:r>
              <w:rPr>
                <w:rFonts w:ascii="Calibri" w:hAnsi="Calibri"/>
                <w:sz w:val="22"/>
              </w:rPr>
              <w:t>6–9% (FY)</w:t>
            </w:r>
          </w:p>
        </w:tc>
        <w:tc>
          <w:tcPr>
            <w:tcW w:type="dxa" w:w="1080"/>
          </w:tcPr>
          <w:p>
            <w:r>
              <w:rPr>
                <w:rFonts w:ascii="Calibri" w:hAnsi="Calibri"/>
                <w:sz w:val="22"/>
              </w:rPr>
              <w:t>6–9% (FY, unchanged)</w:t>
            </w:r>
          </w:p>
        </w:tc>
        <w:tc>
          <w:tcPr>
            <w:tcW w:type="dxa" w:w="1080"/>
          </w:tcPr>
          <w:p>
            <w:r>
              <w:rPr>
                <w:rFonts w:ascii="Calibri" w:hAnsi="Calibri"/>
                <w:sz w:val="22"/>
              </w:rPr>
              <w:t>Unchanged</w:t>
            </w:r>
          </w:p>
        </w:tc>
        <w:tc>
          <w:tcPr>
            <w:tcW w:type="dxa" w:w="1080"/>
          </w:tcPr>
          <w:p>
            <w:r>
              <w:rPr>
                <w:rFonts w:ascii="Calibri" w:hAnsi="Calibri"/>
                <w:sz w:val="22"/>
              </w:rPr>
              <w:t>Within range</w:t>
            </w:r>
          </w:p>
        </w:tc>
      </w:tr>
      <w:tr>
        <w:tc>
          <w:tcPr>
            <w:tcW w:type="dxa" w:w="1080"/>
          </w:tcPr>
          <w:p>
            <w:r>
              <w:rPr>
                <w:rFonts w:ascii="Calibri" w:hAnsi="Calibri"/>
                <w:sz w:val="22"/>
              </w:rPr>
              <w:t>Indices Organic Growth — Q2 2026</w:t>
            </w:r>
          </w:p>
        </w:tc>
        <w:tc>
          <w:tcPr>
            <w:tcW w:type="dxa" w:w="1080"/>
          </w:tcPr>
          <w:p>
            <w:r>
              <w:rPr>
                <w:rFonts w:ascii="Calibri" w:hAnsi="Calibri"/>
                <w:sz w:val="22"/>
              </w:rPr>
              <w:t>14.4%</w:t>
            </w:r>
          </w:p>
        </w:tc>
        <w:tc>
          <w:tcPr>
            <w:tcW w:type="dxa" w:w="1080"/>
          </w:tcPr>
          <w:p>
            <w:r>
              <w:rPr>
                <w:rFonts w:ascii="Calibri" w:hAnsi="Calibri"/>
                <w:sz w:val="22"/>
              </w:rPr>
              <w:t>17.6%</w:t>
            </w:r>
          </w:p>
        </w:tc>
        <w:tc>
          <w:tcPr>
            <w:tcW w:type="dxa" w:w="1080"/>
          </w:tcPr>
          <w:p>
            <w:r>
              <w:rPr>
                <w:rFonts w:ascii="Calibri" w:hAnsi="Calibri"/>
                <w:sz w:val="22"/>
              </w:rPr>
              <w:t>+320 bps</w:t>
            </w:r>
          </w:p>
        </w:tc>
        <w:tc>
          <w:tcPr>
            <w:tcW w:type="dxa" w:w="1080"/>
          </w:tcPr>
          <w:p>
            <w:r>
              <w:rPr>
                <w:rFonts w:ascii="Calibri" w:hAnsi="Calibri"/>
                <w:sz w:val="22"/>
              </w:rPr>
              <w:t>10–12% (FY)</w:t>
            </w:r>
          </w:p>
        </w:tc>
        <w:tc>
          <w:tcPr>
            <w:tcW w:type="dxa" w:w="1080"/>
          </w:tcPr>
          <w:p>
            <w:r>
              <w:rPr>
                <w:rFonts w:ascii="Calibri" w:hAnsi="Calibri"/>
                <w:sz w:val="22"/>
              </w:rPr>
              <w:t>10–12% (FY, unchanged)</w:t>
            </w:r>
          </w:p>
        </w:tc>
        <w:tc>
          <w:tcPr>
            <w:tcW w:type="dxa" w:w="1080"/>
          </w:tcPr>
          <w:p>
            <w:r>
              <w:rPr>
                <w:rFonts w:ascii="Calibri" w:hAnsi="Calibri"/>
                <w:sz w:val="22"/>
              </w:rPr>
              <w:t>Unchanged</w:t>
            </w:r>
          </w:p>
        </w:tc>
        <w:tc>
          <w:tcPr>
            <w:tcW w:type="dxa" w:w="1080"/>
          </w:tcPr>
          <w:p>
            <w:r>
              <w:rPr>
                <w:rFonts w:ascii="Calibri" w:hAnsi="Calibri"/>
                <w:sz w:val="22"/>
              </w:rPr>
              <w:t>Well above FY range</w:t>
            </w:r>
          </w:p>
        </w:tc>
      </w:tr>
      <w:tr>
        <w:tc>
          <w:tcPr>
            <w:tcW w:type="dxa" w:w="1080"/>
          </w:tcPr>
          <w:p>
            <w:r>
              <w:rPr>
                <w:rFonts w:ascii="Calibri" w:hAnsi="Calibri"/>
                <w:sz w:val="22"/>
              </w:rPr>
              <w:t>MI Organic Growth — Q2 2026</w:t>
            </w:r>
          </w:p>
        </w:tc>
        <w:tc>
          <w:tcPr>
            <w:tcW w:type="dxa" w:w="1080"/>
          </w:tcPr>
          <w:p>
            <w:r>
              <w:rPr>
                <w:rFonts w:ascii="Calibri" w:hAnsi="Calibri"/>
                <w:sz w:val="22"/>
              </w:rPr>
              <w:t>7.0%</w:t>
            </w:r>
          </w:p>
        </w:tc>
        <w:tc>
          <w:tcPr>
            <w:tcW w:type="dxa" w:w="1080"/>
          </w:tcPr>
          <w:p>
            <w:r>
              <w:rPr>
                <w:rFonts w:ascii="Calibri" w:hAnsi="Calibri"/>
                <w:sz w:val="22"/>
              </w:rPr>
              <w:t>5.8%</w:t>
            </w:r>
          </w:p>
        </w:tc>
        <w:tc>
          <w:tcPr>
            <w:tcW w:type="dxa" w:w="1080"/>
          </w:tcPr>
          <w:p>
            <w:r>
              <w:rPr>
                <w:rFonts w:ascii="Calibri" w:hAnsi="Calibri"/>
                <w:sz w:val="22"/>
              </w:rPr>
              <w:t>−120 bps</w:t>
            </w:r>
          </w:p>
        </w:tc>
        <w:tc>
          <w:tcPr>
            <w:tcW w:type="dxa" w:w="1080"/>
          </w:tcPr>
          <w:p>
            <w:r>
              <w:rPr>
                <w:rFonts w:ascii="Calibri" w:hAnsi="Calibri"/>
                <w:sz w:val="22"/>
              </w:rPr>
              <w:t>6–8% (FY)</w:t>
            </w:r>
          </w:p>
        </w:tc>
        <w:tc>
          <w:tcPr>
            <w:tcW w:type="dxa" w:w="1080"/>
          </w:tcPr>
          <w:p>
            <w:r>
              <w:rPr>
                <w:rFonts w:ascii="Calibri" w:hAnsi="Calibri"/>
                <w:sz w:val="22"/>
              </w:rPr>
              <w:t>6–8% (FY, unchanged)</w:t>
            </w:r>
          </w:p>
        </w:tc>
        <w:tc>
          <w:tcPr>
            <w:tcW w:type="dxa" w:w="1080"/>
          </w:tcPr>
          <w:p>
            <w:r>
              <w:rPr>
                <w:rFonts w:ascii="Calibri" w:hAnsi="Calibri"/>
                <w:sz w:val="22"/>
              </w:rPr>
              <w:t>Unchanged</w:t>
            </w:r>
          </w:p>
        </w:tc>
        <w:tc>
          <w:tcPr>
            <w:tcW w:type="dxa" w:w="1080"/>
          </w:tcPr>
          <w:p>
            <w:r>
              <w:rPr>
                <w:rFonts w:ascii="Calibri" w:hAnsi="Calibri"/>
                <w:sz w:val="22"/>
              </w:rPr>
              <w:t>Below midpoint</w:t>
            </w:r>
          </w:p>
        </w:tc>
      </w:tr>
      <w:tr>
        <w:tc>
          <w:tcPr>
            <w:tcW w:type="dxa" w:w="1080"/>
          </w:tcPr>
          <w:p>
            <w:r>
              <w:rPr>
                <w:rFonts w:ascii="Calibri" w:hAnsi="Calibri"/>
                <w:sz w:val="22"/>
              </w:rPr>
              <w:t>Energy Organic Growth — Q2 2026</w:t>
            </w:r>
          </w:p>
        </w:tc>
        <w:tc>
          <w:tcPr>
            <w:tcW w:type="dxa" w:w="1080"/>
          </w:tcPr>
          <w:p>
            <w:r>
              <w:rPr>
                <w:rFonts w:ascii="Calibri" w:hAnsi="Calibri"/>
                <w:sz w:val="22"/>
              </w:rPr>
              <w:t>3.9%</w:t>
            </w:r>
          </w:p>
        </w:tc>
        <w:tc>
          <w:tcPr>
            <w:tcW w:type="dxa" w:w="1080"/>
          </w:tcPr>
          <w:p>
            <w:r>
              <w:rPr>
                <w:rFonts w:ascii="Calibri" w:hAnsi="Calibri"/>
                <w:sz w:val="22"/>
              </w:rPr>
              <w:t>6.0%</w:t>
            </w:r>
          </w:p>
        </w:tc>
        <w:tc>
          <w:tcPr>
            <w:tcW w:type="dxa" w:w="1080"/>
          </w:tcPr>
          <w:p>
            <w:r>
              <w:rPr>
                <w:rFonts w:ascii="Calibri" w:hAnsi="Calibri"/>
                <w:sz w:val="22"/>
              </w:rPr>
              <w:t>+210 bps</w:t>
            </w:r>
          </w:p>
        </w:tc>
        <w:tc>
          <w:tcPr>
            <w:tcW w:type="dxa" w:w="1080"/>
          </w:tcPr>
          <w:p>
            <w:r>
              <w:rPr>
                <w:rFonts w:ascii="Calibri" w:hAnsi="Calibri"/>
                <w:sz w:val="22"/>
              </w:rPr>
              <w:t>4–6% (FY, lowered ~1pp)</w:t>
            </w:r>
          </w:p>
        </w:tc>
        <w:tc>
          <w:tcPr>
            <w:tcW w:type="dxa" w:w="1080"/>
          </w:tcPr>
          <w:p>
            <w:r>
              <w:rPr>
                <w:rFonts w:ascii="Calibri" w:hAnsi="Calibri"/>
                <w:sz w:val="22"/>
              </w:rPr>
              <w:t>4–6% (FY, lowered)</w:t>
            </w:r>
          </w:p>
        </w:tc>
        <w:tc>
          <w:tcPr>
            <w:tcW w:type="dxa" w:w="1080"/>
          </w:tcPr>
          <w:p>
            <w:r>
              <w:rPr>
                <w:rFonts w:ascii="Calibri" w:hAnsi="Calibri"/>
                <w:sz w:val="22"/>
              </w:rPr>
              <w:t>↓ Lowered ~1pp at Q1</w:t>
            </w:r>
          </w:p>
        </w:tc>
        <w:tc>
          <w:tcPr>
            <w:tcW w:type="dxa" w:w="1080"/>
          </w:tcPr>
          <w:p>
            <w:r>
              <w:rPr>
                <w:rFonts w:ascii="Calibri" w:hAnsi="Calibri"/>
                <w:sz w:val="22"/>
              </w:rPr>
              <w:t>Within range</w:t>
            </w:r>
          </w:p>
        </w:tc>
      </w:tr>
    </w:tbl>
    <w:p>
      <w:r>
        <w:rPr>
          <w:rFonts w:ascii="Calibri" w:hAnsi="Calibri"/>
          <w:i/>
          <w:color w:val="525866"/>
          <w:sz w:val="22"/>
        </w:rPr>
        <w:t>Source: Visible Alpha consensus and actuals. Baseline as of May 3, 2026 (~5 trading days post Q1 2026 earnings on April 28, 2026). Note: FY2026 revenue consensus reflects the full consolidated company including Mobility for the portion of the year prior to the July 1 spin-off; post-Mobility updated guidance to be provided with Q2 results. The downward revision in FY2026 total revenue consensus (−2.1%) reflects the removal of Mobility from the forward estimates, not underlying business deterioration.</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SPGI has significantly underperformed both the S&amp;P 500 (+1.5% vs. +3.8%) and the Financials ETF XLF (+9.7%) since Q1 2026 earnings, driven by the Energy guidance cut, MI leadership uncertainty (Saugata Saha departure), and spin-off mechanics. The underperformance is not fundamental — it reflects structural/organizational noise — and creates an asymmetric setup heading into Q2 results.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SPGI vs. XLF vs. S&amp;P 500 — Indexed to 100 at Q1 2026 Earnings (April 28, 2026). Source: Yahoo Finance via Stock Price Data.</w:t>
      </w:r>
    </w:p>
    <w:p>
      <w:pPr>
        <w:pStyle w:val="ListBullet"/>
        <w:ind w:left="360" w:hanging="360"/>
      </w:pPr>
      <w:r>
        <w:rPr>
          <w:rFonts w:ascii="Calibri" w:hAnsi="Calibri"/>
          <w:b/>
          <w:color w:val="525866"/>
          <w:sz w:val="22"/>
        </w:rPr>
        <w:t xml:space="preserve">SPGI performance since Q1 earnings (Apr 28 → Jul 28, 2026): </w:t>
      </w:r>
      <w:r>
        <w:rPr>
          <w:rFonts w:ascii="Calibri" w:hAnsi="Calibri"/>
          <w:color w:val="525866"/>
          <w:sz w:val="22"/>
        </w:rPr>
        <w:t>+1.5% ($433.47 → $439.83)</w:t>
      </w:r>
    </w:p>
    <w:p>
      <w:pPr>
        <w:pStyle w:val="ListBullet"/>
        <w:ind w:left="360" w:hanging="360"/>
      </w:pPr>
      <w:r>
        <w:rPr>
          <w:rFonts w:ascii="Calibri" w:hAnsi="Calibri"/>
          <w:b/>
          <w:color w:val="525866"/>
          <w:sz w:val="22"/>
        </w:rPr>
        <w:t xml:space="preserve">S&amp;P 500 (SPY) performance: </w:t>
      </w:r>
      <w:r>
        <w:rPr>
          <w:rFonts w:ascii="Calibri" w:hAnsi="Calibri"/>
          <w:color w:val="525866"/>
          <w:sz w:val="22"/>
        </w:rPr>
        <w:t>+3.8% ($711.69 → $739.09)</w:t>
      </w:r>
    </w:p>
    <w:p>
      <w:pPr>
        <w:pStyle w:val="ListBullet"/>
        <w:ind w:left="360" w:hanging="360"/>
      </w:pPr>
      <w:r>
        <w:rPr>
          <w:rFonts w:ascii="Calibri" w:hAnsi="Calibri"/>
          <w:b/>
          <w:color w:val="525866"/>
          <w:sz w:val="22"/>
        </w:rPr>
        <w:t xml:space="preserve">Financials ETF (XLF) performance: </w:t>
      </w:r>
      <w:r>
        <w:rPr>
          <w:rFonts w:ascii="Calibri" w:hAnsi="Calibri"/>
          <w:color w:val="525866"/>
          <w:sz w:val="22"/>
        </w:rPr>
        <w:t>+9.7% ($51.85 → $56.88)</w:t>
      </w:r>
    </w:p>
    <w:p>
      <w:pPr>
        <w:pStyle w:val="ListBullet"/>
        <w:ind w:left="360" w:hanging="360"/>
      </w:pPr>
      <w:r>
        <w:rPr>
          <w:rFonts w:ascii="Calibri" w:hAnsi="Calibri"/>
          <w:b/>
          <w:color w:val="525866"/>
          <w:sz w:val="22"/>
        </w:rPr>
        <w:t xml:space="preserve">Key events marked: </w:t>
      </w:r>
      <w:r>
        <w:rPr>
          <w:rFonts w:ascii="Calibri" w:hAnsi="Calibri"/>
          <w:color w:val="525866"/>
          <w:sz w:val="22"/>
        </w:rPr>
        <w:t>Form 10 filed (May 7), Mobility Investor Day (May 12), Mobility spin-off completion (Jul 1), Pro forma recast &amp; CLO retirement announcement (Jul 6)</w:t>
      </w:r>
    </w:p>
    <w:p>
      <w:pPr>
        <w:pStyle w:val="ListBullet"/>
        <w:ind w:left="360" w:hanging="360"/>
      </w:pPr>
      <w:r>
        <w:rPr>
          <w:rFonts w:ascii="Calibri" w:hAnsi="Calibri"/>
          <w:b/>
          <w:color w:val="525866"/>
          <w:sz w:val="22"/>
        </w:rPr>
        <w:t xml:space="preserve">Notable: </w:t>
      </w:r>
      <w:r>
        <w:rPr>
          <w:rFonts w:ascii="Calibri" w:hAnsi="Calibri"/>
          <w:color w:val="525866"/>
          <w:sz w:val="22"/>
        </w:rPr>
        <w:t>SPGI sold off sharply in mid-May (to ~$403) following the Mobility Investor Day and broader market concerns, then recovered through June before a second dip in late June. The stock rallied sharply on July 2 (+$25, ~+6%) following the Mobility spin-off completion, then pulled back. The stock is trading at ~$440 heading into Q2 earnings, below the average analyst price target of ~$518–$535.</w:t>
      </w:r>
    </w:p>
    <w:p>
      <w:r>
        <w:br w:type="page"/>
      </w:r>
    </w:p>
    <w:p>
      <w:pPr>
        <w:pStyle w:val="Heading1"/>
        <w:pBdr>
          <w:bottom w:val="single" w:sz="4" w:space="1" w:color="FB9120"/>
        </w:pBdr>
      </w:pPr>
      <w:r>
        <w:rPr>
          <w:rFonts w:ascii="Calibri" w:hAnsi="Calibri"/>
          <w:b/>
          <w:color w:val="3B4259"/>
          <w:sz w:val="40"/>
        </w:rPr>
        <w:t>6. Peer Commentaries — Q2 2026 Read-Through</w:t>
      </w:r>
    </w:p>
    <w:p>
      <w:r>
        <w:rPr>
          <w:rFonts w:ascii="Calibri" w:hAnsi="Calibri"/>
          <w:b/>
          <w:color w:val="525866"/>
          <w:sz w:val="22"/>
        </w:rPr>
        <w:t xml:space="preserve">Key Takeaway: </w:t>
      </w:r>
      <w:r>
        <w:rPr>
          <w:rFonts w:ascii="Calibri" w:hAnsi="Calibri"/>
          <w:color w:val="525866"/>
          <w:sz w:val="22"/>
        </w:rPr>
        <w:t>Peer Q2 2026 earnings calls (MCO, MSCI, NDAQ, FDS) are broadly positive read-throughs for SPGI. Moody’s 25% MIS revenue growth and $2T+ rated for the second consecutive quarter is the strongest direct read-through for SPGI Ratings. MSCI’s record ETF AUM and 25% ABF run rate growth validates the Indices tailwind. FDS’s 7.1% organic ASV growth (5th consecutive quarter of acceleration) is a positive read-through for MI subscription momentum. NDAQ’s record index AUM exceeding $1T and 35% index revenue growth further validates the passive/index secular tailwind.</w:t>
      </w:r>
    </w:p>
    <w:p>
      <w:r>
        <w:rPr>
          <w:rFonts w:ascii="Calibri" w:hAnsi="Calibri"/>
          <w:i/>
          <w:color w:val="525866"/>
          <w:sz w:val="22"/>
        </w:rPr>
        <w:t>Note: Only commentary from peers’ Q2 2026 earnings calls (reporting on the current quarter) is included below. Prior-quarter results commentary has been excluded.</w:t>
      </w:r>
    </w:p>
    <w:p>
      <w:pPr>
        <w:pStyle w:val="Heading2"/>
      </w:pPr>
      <w:r>
        <w:rPr>
          <w:rFonts w:ascii="Calibri" w:hAnsi="Calibri"/>
          <w:b/>
          <w:color w:val="3B4259"/>
          <w:sz w:val="28"/>
        </w:rPr>
        <w:t>Theme 1: Credit Ratings Issuance &amp; Capital Markets Activity</w:t>
      </w:r>
    </w:p>
    <w:p>
      <w:r>
        <w:rPr>
          <w:rFonts w:ascii="Calibri" w:hAnsi="Calibri"/>
          <w:b/>
          <w:color w:val="525866"/>
          <w:sz w:val="22"/>
        </w:rPr>
        <w:t xml:space="preserve">Read-through: </w:t>
      </w:r>
      <w:r>
        <w:rPr>
          <w:rFonts w:ascii="Calibri" w:hAnsi="Calibri"/>
          <w:color w:val="525866"/>
          <w:sz w:val="22"/>
        </w:rPr>
        <w:t>Strongly positive for SPGI Ratings. Moody’s Q2 2026 data confirms that the issuance environment remained robust through the quarter, with broad-based strength across asset classes and hyperscaler issuance continuing to be a major driver.</w:t>
      </w:r>
    </w:p>
    <w:p>
      <w:pPr>
        <w:pStyle w:val="ListBullet"/>
        <w:ind w:left="360" w:hanging="360"/>
      </w:pPr>
      <w:r>
        <w:rPr>
          <w:rFonts w:ascii="Calibri" w:hAnsi="Calibri"/>
          <w:b/>
          <w:color w:val="525866"/>
          <w:sz w:val="22"/>
        </w:rPr>
        <w:t xml:space="preserve">MCO (Q2 2026 earnings, July 22): </w:t>
      </w:r>
      <w:r>
        <w:rPr>
          <w:rFonts w:ascii="Calibri" w:hAnsi="Calibri"/>
          <w:color w:val="525866"/>
          <w:sz w:val="22"/>
        </w:rPr>
        <w:t xml:space="preserve">Moody’s Investor Service delivered 25% revenue growth with broad-based strength across all asset classes. Transaction revenue grew 34%. Moody’s rated more than $2 trillion of debt for the second consecutive quarter. Hyperscalers have already exceeded their 2026 forecast for issuance and issued more debt this year than in the last three years combined. Hyperscaler CapEx alone is expected to approach $800 billion in 2026 and grow meaningfully again in 2027. Even excluding AI data center and hyperscaler activity, issuance still grew double digits year-to-date. In Q2, over $5 billion (~20%) of issuances were tied to AI-related investment and supporting infrastructure. Private credit showed more than 40% growth in private credit-related transactions vs. Q2 2025, with over 110 new first-time mandates. Moody’s upgraded its full-year issuance outlook to mid-single digit percent growth (from low-single digit). </w:t>
      </w:r>
      <w:r>
        <w:rPr>
          <w:rFonts w:ascii="Calibri" w:hAnsi="Calibri"/>
          <w:b/>
          <w:color w:val="525866"/>
          <w:sz w:val="22"/>
        </w:rPr>
        <w:t xml:space="preserve">SPGI implication: </w:t>
      </w:r>
      <w:r>
        <w:rPr>
          <w:rFonts w:ascii="Calibri" w:hAnsi="Calibri"/>
          <w:color w:val="525866"/>
          <w:sz w:val="22"/>
        </w:rPr>
        <w:t>Directly validates SPGI Ratings Q2 performance. The $2T+ rated figure and 34% transaction revenue growth at MCO is the strongest possible read-through for SPGI Ratings transaction revenue. The hyperscaler issuance data (already exceeding 2026 forecast) suggests SPGI’s conservative guidance assumption (less than half of announced hyperscaler CapEx funded by debt) may prove too conservative.</w:t>
      </w:r>
    </w:p>
    <w:p>
      <w:pPr>
        <w:pStyle w:val="ListBullet"/>
        <w:ind w:left="360" w:hanging="360"/>
      </w:pPr>
      <w:r>
        <w:rPr>
          <w:rFonts w:ascii="Calibri" w:hAnsi="Calibri"/>
          <w:b/>
          <w:color w:val="525866"/>
          <w:sz w:val="22"/>
        </w:rPr>
        <w:t xml:space="preserve">MCO (Q2 2026): </w:t>
      </w:r>
      <w:r>
        <w:rPr>
          <w:rFonts w:ascii="Calibri" w:hAnsi="Calibri"/>
          <w:color w:val="525866"/>
          <w:sz w:val="22"/>
        </w:rPr>
        <w:t xml:space="preserve">Important nuance: MCO noted that the increased issuance forecast is concentrated in PIF (Public, Infrastructure, Project Finance) and banking, driven by more data center activity and frequent banking issuers — issuers that carry lower average revenue yields due to pricing programs. As a result, the higher issuance outlook does not change MCO’s full-year MIS revenue expectations. MCO guided Q3 MIS to low-single digit revenue growth as market activity slows through summer, with Q4 revenue roughly flat vs. prior year. </w:t>
      </w:r>
      <w:r>
        <w:rPr>
          <w:rFonts w:ascii="Calibri" w:hAnsi="Calibri"/>
          <w:b/>
          <w:color w:val="525866"/>
          <w:sz w:val="22"/>
        </w:rPr>
        <w:t xml:space="preserve">SPGI implication: </w:t>
      </w:r>
      <w:r>
        <w:rPr>
          <w:rFonts w:ascii="Calibri" w:hAnsi="Calibri"/>
          <w:color w:val="525866"/>
          <w:sz w:val="22"/>
        </w:rPr>
        <w:t>Consistent with SPGI management’s own Q2 guidance (no acceleration vs. Q1) and Q3/Q4 moderation commentary. The mix shift toward frequent issuers/hyperscalers (who pay per transaction but at potentially lower yields) is a shared dynamic.</w:t>
      </w:r>
    </w:p>
    <w:p>
      <w:pPr>
        <w:pStyle w:val="ListBullet"/>
        <w:ind w:left="360" w:hanging="360"/>
      </w:pPr>
      <w:r>
        <w:rPr>
          <w:rFonts w:ascii="Calibri" w:hAnsi="Calibri"/>
          <w:b/>
          <w:color w:val="525866"/>
          <w:sz w:val="22"/>
        </w:rPr>
        <w:t xml:space="preserve">NDAQ (Q2 2026 earnings, July 23): </w:t>
      </w:r>
      <w:r>
        <w:rPr>
          <w:rFonts w:ascii="Calibri" w:hAnsi="Calibri"/>
          <w:color w:val="525866"/>
          <w:sz w:val="22"/>
        </w:rPr>
        <w:t xml:space="preserve">Nasdaq’s U.S. listings franchise delivered its strongest first half in U.S. exchange history, with $111 billion in operating company proceeds raised. The IPO environment is described as robust, with a broad-based pipeline across AI infrastructure, healthcare/biotech, defense, and consumer. </w:t>
      </w:r>
      <w:r>
        <w:rPr>
          <w:rFonts w:ascii="Calibri" w:hAnsi="Calibri"/>
          <w:b/>
          <w:color w:val="525866"/>
          <w:sz w:val="22"/>
        </w:rPr>
        <w:t xml:space="preserve">SPGI implication: </w:t>
      </w:r>
      <w:r>
        <w:rPr>
          <w:rFonts w:ascii="Calibri" w:hAnsi="Calibri"/>
          <w:color w:val="525866"/>
          <w:sz w:val="22"/>
        </w:rPr>
        <w:t>A healthy IPO market drives new issuer ratings mandates for SPGI Ratings, particularly in the corporate and structured finance segments.</w:t>
      </w:r>
    </w:p>
    <w:p>
      <w:pPr>
        <w:pStyle w:val="Heading2"/>
      </w:pPr>
      <w:r>
        <w:rPr>
          <w:rFonts w:ascii="Calibri" w:hAnsi="Calibri"/>
          <w:b/>
          <w:color w:val="3B4259"/>
          <w:sz w:val="28"/>
        </w:rPr>
        <w:t>Theme 2: Financial Data Subscriptions, ACV/ASV Growth &amp; Retention</w:t>
      </w:r>
    </w:p>
    <w:p>
      <w:r>
        <w:rPr>
          <w:rFonts w:ascii="Calibri" w:hAnsi="Calibri"/>
          <w:b/>
          <w:color w:val="525866"/>
          <w:sz w:val="22"/>
        </w:rPr>
        <w:t xml:space="preserve">Read-through: </w:t>
      </w:r>
      <w:r>
        <w:rPr>
          <w:rFonts w:ascii="Calibri" w:hAnsi="Calibri"/>
          <w:color w:val="525866"/>
          <w:sz w:val="22"/>
        </w:rPr>
        <w:t>Positive for SPGI Market Intelligence. Both FDS and MCO reported accelerating subscription growth with retention rates above 95%, validating the demand environment for financial data and analytics. The acceleration in FDS ASV growth is particularly relevant as a direct MI read-through.</w:t>
      </w:r>
    </w:p>
    <w:p>
      <w:pPr>
        <w:pStyle w:val="ListBullet"/>
        <w:ind w:left="360" w:hanging="360"/>
      </w:pPr>
      <w:r>
        <w:rPr>
          <w:rFonts w:ascii="Calibri" w:hAnsi="Calibri"/>
          <w:b/>
          <w:color w:val="525866"/>
          <w:sz w:val="22"/>
        </w:rPr>
        <w:t xml:space="preserve">FDS (Fiscal Q3 2026 earnings, July 1 — covers May 2026 quarter end): </w:t>
      </w:r>
      <w:r>
        <w:rPr>
          <w:rFonts w:ascii="Calibri" w:hAnsi="Calibri"/>
          <w:color w:val="525866"/>
          <w:sz w:val="22"/>
        </w:rPr>
        <w:t xml:space="preserve">Organic ASV growth accelerated to 7.1% ($2.48B), the fifth consecutive quarter of acceleration and the highest ASV growth rate since Q1 2020. ASV increased $35M during the quarter. Growth was broad-based: Americas +7%, EMEA +5%, Asia Pacific +10%. By client type: institutional buy side +6%, wealth management +10%, dealmakers +9%, market infrastructure +7%. ASV retention rates remained above 95%. The majority of ASV renewed in Q3 was in the form of enterprise agreements or renewed for durations of three years or more, with average contract term extending ~30% while broadly preserving pricing. FDS is tracking toward the high end of its revenue and EPS guidance ranges. </w:t>
      </w:r>
      <w:r>
        <w:rPr>
          <w:rFonts w:ascii="Calibri" w:hAnsi="Calibri"/>
          <w:b/>
          <w:color w:val="525866"/>
          <w:sz w:val="22"/>
        </w:rPr>
        <w:t xml:space="preserve">SPGI implication: </w:t>
      </w:r>
      <w:r>
        <w:rPr>
          <w:rFonts w:ascii="Calibri" w:hAnsi="Calibri"/>
          <w:color w:val="525866"/>
          <w:sz w:val="22"/>
        </w:rPr>
        <w:t>Directly positive for SPGI MI subscription growth. FDS’s 7.1% organic ASV growth and 5th consecutive quarter of acceleration validates the demand environment for financial data subscriptions. SPGI guided for MI subscription revenue acceleration in Q2, and FDS’s data supports that the market conditions are favorable.</w:t>
      </w:r>
    </w:p>
    <w:p>
      <w:pPr>
        <w:pStyle w:val="ListBullet"/>
        <w:ind w:left="360" w:hanging="360"/>
      </w:pPr>
      <w:r>
        <w:rPr>
          <w:rFonts w:ascii="Calibri" w:hAnsi="Calibri"/>
          <w:b/>
          <w:color w:val="525866"/>
          <w:sz w:val="22"/>
        </w:rPr>
        <w:t xml:space="preserve">MCO (Q2 2026): </w:t>
      </w:r>
      <w:r>
        <w:rPr>
          <w:rFonts w:ascii="Calibri" w:hAnsi="Calibri"/>
          <w:color w:val="525866"/>
          <w:sz w:val="22"/>
        </w:rPr>
        <w:t xml:space="preserve">Moody’s Analytics recurring revenue reached ~$3.7B, up nearly 9% from prior year. Trailing 12-month retention remained strong at 95%. MA revenue increased 8% on an organic constant currency basis. Annual Recurring Revenue (ARR) ended the quarter at nearly 9% YoY growth, on track for high single-digit growth for the full year. Decision Solutions (44% of MA) delivered 10% ARR growth; KYC grew 13%; Banking ARR grew 10%; Insurance ARR grew 9%. </w:t>
      </w:r>
      <w:r>
        <w:rPr>
          <w:rFonts w:ascii="Calibri" w:hAnsi="Calibri"/>
          <w:b/>
          <w:color w:val="525866"/>
          <w:sz w:val="22"/>
        </w:rPr>
        <w:t xml:space="preserve">SPGI implication: </w:t>
      </w:r>
      <w:r>
        <w:rPr>
          <w:rFonts w:ascii="Calibri" w:hAnsi="Calibri"/>
          <w:color w:val="525866"/>
          <w:sz w:val="22"/>
        </w:rPr>
        <w:t>Validates the demand environment for financial data and risk analytics. MCO’s 9% organic ARR growth and 95% retention is consistent with SPGI MI’s improving subscription trajectory.</w:t>
      </w:r>
    </w:p>
    <w:p>
      <w:pPr>
        <w:pStyle w:val="ListBullet"/>
        <w:ind w:left="360" w:hanging="360"/>
      </w:pPr>
      <w:r>
        <w:rPr>
          <w:rFonts w:ascii="Calibri" w:hAnsi="Calibri"/>
          <w:b/>
          <w:color w:val="525866"/>
          <w:sz w:val="22"/>
        </w:rPr>
        <w:t xml:space="preserve">MSCI (Q2 2026 earnings, July 21): </w:t>
      </w:r>
      <w:r>
        <w:rPr>
          <w:rFonts w:ascii="Calibri" w:hAnsi="Calibri"/>
          <w:color w:val="525866"/>
          <w:sz w:val="22"/>
        </w:rPr>
        <w:t xml:space="preserve">MSCI achieved organic subscription growth of over 8% with a retention rate of over 95%. Among hedge funds specifically, MSCI delivered subscription run rate growth of 15%, with its best quarter on record at 19% subscription run rate growth and nearly $15M in recurring net new sales (up 75%). Index subscription run rate growth accelerated to over 11%, driven by recurring net new subscription sales of over $28M (up nearly 41% YoY). Custom index organic subscription run rate growth was 23%. Private capital solutions subscription run rate growth accelerated to over 16%. </w:t>
      </w:r>
      <w:r>
        <w:rPr>
          <w:rFonts w:ascii="Calibri" w:hAnsi="Calibri"/>
          <w:b/>
          <w:color w:val="525866"/>
          <w:sz w:val="22"/>
        </w:rPr>
        <w:t xml:space="preserve">SPGI implication: </w:t>
      </w:r>
      <w:r>
        <w:rPr>
          <w:rFonts w:ascii="Calibri" w:hAnsi="Calibri"/>
          <w:color w:val="525866"/>
          <w:sz w:val="22"/>
        </w:rPr>
        <w:t>Validates strong demand for index and analytics subscriptions. MSCI’s 8%+ organic subscription growth and record hedge fund performance is a positive read-through for SPGI Indices data &amp; custom subscription revenue.</w:t>
      </w:r>
    </w:p>
    <w:p>
      <w:pPr>
        <w:pStyle w:val="Heading2"/>
      </w:pPr>
      <w:r>
        <w:rPr>
          <w:rFonts w:ascii="Calibri" w:hAnsi="Calibri"/>
          <w:b/>
          <w:color w:val="3B4259"/>
          <w:sz w:val="28"/>
        </w:rPr>
        <w:t>Theme 3: Indices / ETF AUM &amp; Asset-Linked Fee Trends</w:t>
      </w:r>
    </w:p>
    <w:p>
      <w:r>
        <w:rPr>
          <w:rFonts w:ascii="Calibri" w:hAnsi="Calibri"/>
          <w:b/>
          <w:color w:val="525866"/>
          <w:sz w:val="22"/>
        </w:rPr>
        <w:t xml:space="preserve">Read-through: </w:t>
      </w:r>
      <w:r>
        <w:rPr>
          <w:rFonts w:ascii="Calibri" w:hAnsi="Calibri"/>
          <w:color w:val="525866"/>
          <w:sz w:val="22"/>
        </w:rPr>
        <w:t>Strongly positive for SPGI Indices. Both MSCI and NDAQ reported record ETF AUM and record net inflows in Q2 2026, directly validating the asset-linked fee tailwind for SPGI’s Indices division (65% of Indices revenue is asset-linked fees).</w:t>
      </w:r>
    </w:p>
    <w:p>
      <w:pPr>
        <w:pStyle w:val="ListBullet"/>
        <w:ind w:left="360" w:hanging="360"/>
      </w:pPr>
      <w:r>
        <w:rPr>
          <w:rFonts w:ascii="Calibri" w:hAnsi="Calibri"/>
          <w:b/>
          <w:color w:val="525866"/>
          <w:sz w:val="22"/>
        </w:rPr>
        <w:t xml:space="preserve">MSCI (Q2 2026): </w:t>
      </w:r>
      <w:r>
        <w:rPr>
          <w:rFonts w:ascii="Calibri" w:hAnsi="Calibri"/>
          <w:color w:val="525866"/>
          <w:sz w:val="22"/>
        </w:rPr>
        <w:t xml:space="preserve">MSCI achieved its best-ever asset-based fee run rate of $948M, growing 25% YoY. Total ETF AUM linked to MSCI indices grew by more than $1 trillion over the past 15 months, with AUM in ETFs linked to MSCI indexes reaching more than $2.8 trillion. Non-ETF passive AUM is around $5 trillion as of June 30. Net inflows of nearly $40 billion in ETFs linked to MSCI indices over the past 15 months, with close to $40 billion of cash inflows in Q2 alone. MSCI noted that even in the early weeks of Q3, it has continued to see “exceptional” cash flows into ETFs linked to its indexes. Fee compression in Q2 was driven by mix shift toward developed markets ex-U.S. and all-country products (which carry lower fees), with MSCI noting it now has lower floors on certain large products. </w:t>
      </w:r>
      <w:r>
        <w:rPr>
          <w:rFonts w:ascii="Calibri" w:hAnsi="Calibri"/>
          <w:b/>
          <w:color w:val="525866"/>
          <w:sz w:val="22"/>
        </w:rPr>
        <w:t xml:space="preserve">SPGI implication: </w:t>
      </w:r>
      <w:r>
        <w:rPr>
          <w:rFonts w:ascii="Calibri" w:hAnsi="Calibri"/>
          <w:color w:val="525866"/>
          <w:sz w:val="22"/>
        </w:rPr>
        <w:t>Directly positive for SPGI Indices asset-linked fees. Record AUM and inflows at MSCI validate the same tailwind for S&amp;P Dow Jones Indices (which has tens of trillions of AUM in S&amp;P 500-linked products). The fee compression dynamic at MSCI (mix shift to lower-fee products) is worth monitoring for SPGI Indices as well.</w:t>
      </w:r>
    </w:p>
    <w:p>
      <w:pPr>
        <w:pStyle w:val="ListBullet"/>
        <w:ind w:left="360" w:hanging="360"/>
      </w:pPr>
      <w:r>
        <w:rPr>
          <w:rFonts w:ascii="Calibri" w:hAnsi="Calibri"/>
          <w:b/>
          <w:color w:val="525866"/>
          <w:sz w:val="22"/>
        </w:rPr>
        <w:t xml:space="preserve">NDAQ (Q2 2026): </w:t>
      </w:r>
      <w:r>
        <w:rPr>
          <w:rFonts w:ascii="Calibri" w:hAnsi="Calibri"/>
          <w:color w:val="525866"/>
          <w:sz w:val="22"/>
        </w:rPr>
        <w:t xml:space="preserve">Nasdaq’s index franchise set new inflow records with $51 billion in net inflows in Q2 and $109 billion over the last 12 months. Quarter-end and average AUM exceeded $1 trillion for the first time ever. Index revenue was up 35%, primarily driven by record average AUM surpassing $1 trillion and record net inflows. Record derivatives contract volumes were up 33% in the quarter. 38% of trailing 12-month net inflows were driven by products launched over the last five years. Nasdaq launched 34 new products in Q2, including 11 insurance products. </w:t>
      </w:r>
      <w:r>
        <w:rPr>
          <w:rFonts w:ascii="Calibri" w:hAnsi="Calibri"/>
          <w:b/>
          <w:color w:val="525866"/>
          <w:sz w:val="22"/>
        </w:rPr>
        <w:t xml:space="preserve">SPGI implication: </w:t>
      </w:r>
      <w:r>
        <w:rPr>
          <w:rFonts w:ascii="Calibri" w:hAnsi="Calibri"/>
          <w:color w:val="525866"/>
          <w:sz w:val="22"/>
        </w:rPr>
        <w:t>Validates the secular tailwind for index products. NDAQ’s 35% index revenue growth and record AUM is a strong read-through for SPGI Indices, which has a much larger AUM base (tens of trillions in S&amp;P 500-linked products). The derivatives volume growth (+33%) is also relevant for SPGI’s exchange-traded derivatives revenue line (18% of Indices revenue).</w:t>
      </w:r>
    </w:p>
    <w:p>
      <w:pPr>
        <w:pStyle w:val="Heading2"/>
      </w:pPr>
      <w:r>
        <w:rPr>
          <w:rFonts w:ascii="Calibri" w:hAnsi="Calibri"/>
          <w:b/>
          <w:color w:val="3B4259"/>
          <w:sz w:val="28"/>
        </w:rPr>
        <w:t>Theme 4: Private Markets Growth</w:t>
      </w:r>
    </w:p>
    <w:p>
      <w:r>
        <w:rPr>
          <w:rFonts w:ascii="Calibri" w:hAnsi="Calibri"/>
          <w:b/>
          <w:color w:val="525866"/>
          <w:sz w:val="22"/>
        </w:rPr>
        <w:t xml:space="preserve">Read-through: </w:t>
      </w:r>
      <w:r>
        <w:rPr>
          <w:rFonts w:ascii="Calibri" w:hAnsi="Calibri"/>
          <w:color w:val="525866"/>
          <w:sz w:val="22"/>
        </w:rPr>
        <w:t>Positive for SPGI across Ratings, MI, and Indices. All peers reported strong private markets momentum, validating SPGI’s strategic positioning in private credit and private assets.</w:t>
      </w:r>
    </w:p>
    <w:p>
      <w:pPr>
        <w:pStyle w:val="ListBullet"/>
        <w:ind w:left="360" w:hanging="360"/>
      </w:pPr>
      <w:r>
        <w:rPr>
          <w:rFonts w:ascii="Calibri" w:hAnsi="Calibri"/>
          <w:b/>
          <w:color w:val="525866"/>
          <w:sz w:val="22"/>
        </w:rPr>
        <w:t xml:space="preserve">MCO (Q2 2026): </w:t>
      </w:r>
      <w:r>
        <w:rPr>
          <w:rFonts w:ascii="Calibri" w:hAnsi="Calibri"/>
          <w:color w:val="525866"/>
          <w:sz w:val="22"/>
        </w:rPr>
        <w:t xml:space="preserve">Private credit showed more than 40% growth in private credit-related transactions, including structured finance mandates, vs. Q2 2025, with over 110 new first-time mandates. Management noted that private credit is pushing into retailization, which will drive a need for greater transparency, a common language for risk assessment, and valuation consistency — all areas where Moody’s (and SPGI) are well-positioned. Regulatory modernization by the NAIC to address the shift toward complex, structured private assets provides additional tailwinds. </w:t>
      </w:r>
      <w:r>
        <w:rPr>
          <w:rFonts w:ascii="Calibri" w:hAnsi="Calibri"/>
          <w:b/>
          <w:color w:val="525866"/>
          <w:sz w:val="22"/>
        </w:rPr>
        <w:t xml:space="preserve">SPGI implication: </w:t>
      </w:r>
      <w:r>
        <w:rPr>
          <w:rFonts w:ascii="Calibri" w:hAnsi="Calibri"/>
          <w:color w:val="525866"/>
          <w:sz w:val="22"/>
        </w:rPr>
        <w:t>Directly validates SPGI Ratings private markets revenue growth (&gt;25% in Q1 2026). The retailization of private credit is a multi-year structural tailwind for SPGI’s ratings, data, and index products.</w:t>
      </w:r>
    </w:p>
    <w:p>
      <w:pPr>
        <w:pStyle w:val="ListBullet"/>
        <w:ind w:left="360" w:hanging="360"/>
      </w:pPr>
      <w:r>
        <w:rPr>
          <w:rFonts w:ascii="Calibri" w:hAnsi="Calibri"/>
          <w:b/>
          <w:color w:val="525866"/>
          <w:sz w:val="22"/>
        </w:rPr>
        <w:t xml:space="preserve">MSCI (Q2 2026): </w:t>
      </w:r>
      <w:r>
        <w:rPr>
          <w:rFonts w:ascii="Calibri" w:hAnsi="Calibri"/>
          <w:color w:val="525866"/>
          <w:sz w:val="22"/>
        </w:rPr>
        <w:t xml:space="preserve">MSCI achieved 57% recurring net new sales growth in private assets, with more pension funds and sovereign wealth funds embracing total portfolio solutions. MSCI announced a new strategic partnership with UBS to extend private asset solutions to wealth managers. Management stated they are “only beginning to show” the acceleration of private assets and highlighted the significant opportunity in creating transparency and valuations in private asset funds for the wealth channel. </w:t>
      </w:r>
      <w:r>
        <w:rPr>
          <w:rFonts w:ascii="Calibri" w:hAnsi="Calibri"/>
          <w:b/>
          <w:color w:val="525866"/>
          <w:sz w:val="22"/>
        </w:rPr>
        <w:t xml:space="preserve">SPGI implication: </w:t>
      </w:r>
      <w:r>
        <w:rPr>
          <w:rFonts w:ascii="Calibri" w:hAnsi="Calibri"/>
          <w:color w:val="525866"/>
          <w:sz w:val="22"/>
        </w:rPr>
        <w:t>Validates SPGI’s private markets opportunity across MI (With Intelligence acquisition) and Indices (private loan series index launched in Q1 2026). The wealth channel expansion is a shared opportunity.</w:t>
      </w:r>
    </w:p>
    <w:p>
      <w:pPr>
        <w:pStyle w:val="ListBullet"/>
        <w:ind w:left="360" w:hanging="360"/>
      </w:pPr>
      <w:r>
        <w:rPr>
          <w:rFonts w:ascii="Calibri" w:hAnsi="Calibri"/>
          <w:b/>
          <w:color w:val="525866"/>
          <w:sz w:val="22"/>
        </w:rPr>
        <w:t xml:space="preserve">FDS (Fiscal Q3 2026): </w:t>
      </w:r>
      <w:r>
        <w:rPr>
          <w:rFonts w:ascii="Calibri" w:hAnsi="Calibri"/>
          <w:color w:val="525866"/>
          <w:sz w:val="22"/>
        </w:rPr>
        <w:t xml:space="preserve">FactSet noted that its private market data sets are “some of the fastest growing SKUs in data delivery.” </w:t>
      </w:r>
      <w:r>
        <w:rPr>
          <w:rFonts w:ascii="Calibri" w:hAnsi="Calibri"/>
          <w:b/>
          <w:color w:val="525866"/>
          <w:sz w:val="22"/>
        </w:rPr>
        <w:t xml:space="preserve">SPGI implication: </w:t>
      </w:r>
      <w:r>
        <w:rPr>
          <w:rFonts w:ascii="Calibri" w:hAnsi="Calibri"/>
          <w:color w:val="525866"/>
          <w:sz w:val="22"/>
        </w:rPr>
        <w:t>Consistent with SPGI’s commentary that private markets data is a high-growth adjacency across all divisions.</w:t>
      </w:r>
    </w:p>
    <w:p>
      <w:pPr>
        <w:pStyle w:val="Heading2"/>
      </w:pPr>
      <w:r>
        <w:rPr>
          <w:rFonts w:ascii="Calibri" w:hAnsi="Calibri"/>
          <w:b/>
          <w:color w:val="3B4259"/>
          <w:sz w:val="28"/>
        </w:rPr>
        <w:t>Theme 5: AI Monetization &amp; Data Demand</w:t>
      </w:r>
    </w:p>
    <w:p>
      <w:r>
        <w:rPr>
          <w:rFonts w:ascii="Calibri" w:hAnsi="Calibri"/>
          <w:b/>
          <w:color w:val="525866"/>
          <w:sz w:val="22"/>
        </w:rPr>
        <w:t xml:space="preserve">Read-through: </w:t>
      </w:r>
      <w:r>
        <w:rPr>
          <w:rFonts w:ascii="Calibri" w:hAnsi="Calibri"/>
          <w:color w:val="525866"/>
          <w:sz w:val="22"/>
        </w:rPr>
        <w:t>Broadly positive for SPGI’s AI strategy and data monetization. All four peers reported accelerating AI-driven data demand, MCP adoption, and early monetization evidence. The consistent theme across peers is that AI is driving higher data consumption, upsells, and new revenue streams — all consistent with SPGI’s own commentary.</w:t>
      </w:r>
    </w:p>
    <w:p>
      <w:pPr>
        <w:pStyle w:val="ListBullet"/>
        <w:ind w:left="360" w:hanging="360"/>
      </w:pPr>
      <w:r>
        <w:rPr>
          <w:rFonts w:ascii="Calibri" w:hAnsi="Calibri"/>
          <w:b/>
          <w:color w:val="525866"/>
          <w:sz w:val="22"/>
        </w:rPr>
        <w:t xml:space="preserve">FDS (Fiscal Q3 2026): </w:t>
      </w:r>
      <w:r>
        <w:rPr>
          <w:rFonts w:ascii="Calibri" w:hAnsi="Calibri"/>
          <w:color w:val="525866"/>
          <w:sz w:val="22"/>
        </w:rPr>
        <w:t xml:space="preserve">Over 90% of FDS’s top 50 clients are now using four or more FactSet AI solutions. ASV growth among clients using AI solutions was 50% higher than for the rest of the book. Over 10% of ASV growth in Q3 came directly from AI SKUs. API call volume grew 13x from Q2 to Q3. Over 20% of top 100 clients are using MCP on a paid basis, and 90% of deals involving an MCP component showed contract value improvements. One top-10 bank doubled its data subscriptions because of AI; a hedge fund grew 6x because of MCP delivery. </w:t>
      </w:r>
      <w:r>
        <w:rPr>
          <w:rFonts w:ascii="Calibri" w:hAnsi="Calibri"/>
          <w:b/>
          <w:color w:val="525866"/>
          <w:sz w:val="22"/>
        </w:rPr>
        <w:t xml:space="preserve">SPGI implication: </w:t>
      </w:r>
      <w:r>
        <w:rPr>
          <w:rFonts w:ascii="Calibri" w:hAnsi="Calibri"/>
          <w:color w:val="525866"/>
          <w:sz w:val="22"/>
        </w:rPr>
        <w:t>Directly validates SPGI’s AI monetization thesis. SPGI reported similar dynamics in Q1 2026 (300+ customers under contract/trial for Kensho LLM-ready APIs, API call volumes up 5x QoQ, AI customers in MI growing at materially higher ACV rates). FDS’s data suggests the AI monetization ramp is real and accelerating.</w:t>
      </w:r>
    </w:p>
    <w:p>
      <w:pPr>
        <w:pStyle w:val="ListBullet"/>
        <w:ind w:left="360" w:hanging="360"/>
      </w:pPr>
      <w:r>
        <w:rPr>
          <w:rFonts w:ascii="Calibri" w:hAnsi="Calibri"/>
          <w:b/>
          <w:color w:val="525866"/>
          <w:sz w:val="22"/>
        </w:rPr>
        <w:t xml:space="preserve">MCO (Q2 2026): </w:t>
      </w:r>
      <w:r>
        <w:rPr>
          <w:rFonts w:ascii="Calibri" w:hAnsi="Calibri"/>
          <w:color w:val="525866"/>
          <w:sz w:val="22"/>
        </w:rPr>
        <w:t xml:space="preserve">Moody’s Connected Intelligence is integrated into Amazon QuickSight, giving AWS customers access to ratings, research, and curated data on hundreds of millions of entities. MCO launched its first AI skill on Microsoft 365 Co-pilot, with over 20 global engagements and initial customer trials underway. More than 100 MCP and smart API connections are being used and trialed by customers. AI-powered screening solutions are helping drive ~50% reduction in false positive alerts. MCO noted that cheaper tokens would expand usage more than compress prices, positioning MCO (and SPGI) to benefit from lower AI infrastructure costs. </w:t>
      </w:r>
      <w:r>
        <w:rPr>
          <w:rFonts w:ascii="Calibri" w:hAnsi="Calibri"/>
          <w:b/>
          <w:color w:val="525866"/>
          <w:sz w:val="22"/>
        </w:rPr>
        <w:t xml:space="preserve">SPGI implication: </w:t>
      </w:r>
      <w:r>
        <w:rPr>
          <w:rFonts w:ascii="Calibri" w:hAnsi="Calibri"/>
          <w:color w:val="525866"/>
          <w:sz w:val="22"/>
        </w:rPr>
        <w:t>Validates SPGI’s MCP/AI distribution strategy. MCO’s 100+ MCP connections is comparable to SPGI’s 300+ Kensho API customers. The Amazon/Microsoft partnership model mirrors SPGI’s own frontier model distribution approach.</w:t>
      </w:r>
    </w:p>
    <w:p>
      <w:pPr>
        <w:pStyle w:val="ListBullet"/>
        <w:ind w:left="360" w:hanging="360"/>
      </w:pPr>
      <w:r>
        <w:rPr>
          <w:rFonts w:ascii="Calibri" w:hAnsi="Calibri"/>
          <w:b/>
          <w:color w:val="525866"/>
          <w:sz w:val="22"/>
        </w:rPr>
        <w:t xml:space="preserve">MSCI (Q2 2026): </w:t>
      </w:r>
      <w:r>
        <w:rPr>
          <w:rFonts w:ascii="Calibri" w:hAnsi="Calibri"/>
          <w:color w:val="525866"/>
          <w:sz w:val="22"/>
        </w:rPr>
        <w:t xml:space="preserve">Over 1,000 clients are using MSCI’s Index AI Insights (launched February 2026). Hundreds of companies and end users are accessing MSCI’s solutions through preferred AI models. MSCI recently signed its first training license, allowing a client to train a model using MSCI content. AI monetization is “little today” but expected to be a “nice tailwind.” AI is helping MSCI accelerate index production and deliver customization at scale. </w:t>
      </w:r>
      <w:r>
        <w:rPr>
          <w:rFonts w:ascii="Calibri" w:hAnsi="Calibri"/>
          <w:b/>
          <w:color w:val="525866"/>
          <w:sz w:val="22"/>
        </w:rPr>
        <w:t xml:space="preserve">SPGI implication: </w:t>
      </w:r>
      <w:r>
        <w:rPr>
          <w:rFonts w:ascii="Calibri" w:hAnsi="Calibri"/>
          <w:color w:val="525866"/>
          <w:sz w:val="22"/>
        </w:rPr>
        <w:t>Validates SPGI’s cautious but optimistic AI monetization framing. MSCI’s first training license is analogous to SPGI’s frontier model data licensing model (where SPGI charges for data access while prohibiting training on SPGI IP).</w:t>
      </w:r>
    </w:p>
    <w:p>
      <w:pPr>
        <w:pStyle w:val="ListBullet"/>
        <w:ind w:left="360" w:hanging="360"/>
      </w:pPr>
      <w:r>
        <w:rPr>
          <w:rFonts w:ascii="Calibri" w:hAnsi="Calibri"/>
          <w:b/>
          <w:color w:val="525866"/>
          <w:sz w:val="22"/>
        </w:rPr>
        <w:t xml:space="preserve">NDAQ (Q2 2026): </w:t>
      </w:r>
      <w:r>
        <w:rPr>
          <w:rFonts w:ascii="Calibri" w:hAnsi="Calibri"/>
          <w:color w:val="525866"/>
          <w:sz w:val="22"/>
        </w:rPr>
        <w:t xml:space="preserve">More than a quarter of new bookings in Nasdaq’s Investment analytics product are associated with AI use cases. Nasdaq introduced the Data Link MCP in Q2, with an upcharge for the MCP layer in addition to the license fee. Nasdaq Verafin’s AI workforce is now used by 750 clients. Nasdaq is in the “very early innings” of monetizing AI capabilities but is encouraged by clients moving from free to paid subscriptions. </w:t>
      </w:r>
      <w:r>
        <w:rPr>
          <w:rFonts w:ascii="Calibri" w:hAnsi="Calibri"/>
          <w:b/>
          <w:color w:val="525866"/>
          <w:sz w:val="22"/>
        </w:rPr>
        <w:t xml:space="preserve">SPGI implication: </w:t>
      </w:r>
      <w:r>
        <w:rPr>
          <w:rFonts w:ascii="Calibri" w:hAnsi="Calibri"/>
          <w:color w:val="525866"/>
          <w:sz w:val="22"/>
        </w:rPr>
        <w:t>Validates the MCP upcharge model that SPGI is also pursuing. The “early innings” framing is consistent with SPGI management’s own cautious approach to AI revenue attribution.</w:t>
      </w:r>
    </w:p>
    <w:p>
      <w:pPr>
        <w:pStyle w:val="Heading2"/>
      </w:pPr>
      <w:r>
        <w:rPr>
          <w:rFonts w:ascii="Calibri" w:hAnsi="Calibri"/>
          <w:b/>
          <w:color w:val="3B4259"/>
          <w:sz w:val="28"/>
        </w:rPr>
        <w:t>Theme 6: Macro Environment &amp; H2 2026 Outlook</w:t>
      </w:r>
    </w:p>
    <w:p>
      <w:pPr>
        <w:pStyle w:val="ListBullet"/>
        <w:ind w:left="360" w:hanging="360"/>
      </w:pPr>
      <w:r>
        <w:rPr>
          <w:rFonts w:ascii="Calibri" w:hAnsi="Calibri"/>
          <w:b/>
          <w:color w:val="525866"/>
          <w:sz w:val="22"/>
        </w:rPr>
        <w:t xml:space="preserve">MCO (Q2 2026): </w:t>
      </w:r>
      <w:r>
        <w:rPr>
          <w:rFonts w:ascii="Calibri" w:hAnsi="Calibri"/>
          <w:color w:val="525866"/>
          <w:sz w:val="22"/>
        </w:rPr>
        <w:t xml:space="preserve">Management acknowledged a complex operating environment with geopolitical volatility. Potential H2 tailwinds: sustained M&amp;A pickup, hyperscaler/data center issuance running hotter than guidance, and a potential rate cut triggering incremental opportunistic refinancing. Risks: headline risk triggering risk-off windows, extended disruption to global energy flows pressuring inflation, companies deferring M&amp;A. Historically, ~55% of full-year issuance comes in H1; this year the mix is expected to shift more to H1 (high 50s%) due to hyperscaler and frequent FIG pull-forward. High yield spreads remain very tight by historical averages, and the spec-grade default rate outlook continues to decline, potentially supporting leveraged finance issuance more than forecasted. </w:t>
      </w:r>
      <w:r>
        <w:rPr>
          <w:rFonts w:ascii="Calibri" w:hAnsi="Calibri"/>
          <w:b/>
          <w:color w:val="525866"/>
          <w:sz w:val="22"/>
        </w:rPr>
        <w:t xml:space="preserve">SPGI implication: </w:t>
      </w:r>
      <w:r>
        <w:rPr>
          <w:rFonts w:ascii="Calibri" w:hAnsi="Calibri"/>
          <w:color w:val="525866"/>
          <w:sz w:val="22"/>
        </w:rPr>
        <w:t>The H1-heavy issuance mix is consistent with SPGI’s own guidance (Q3 moderation, Q4 negative comp). The tight HY spreads and declining default rate outlook are positive for SPGI Ratings’ leveraged finance pipeline.</w:t>
      </w:r>
    </w:p>
    <w:p>
      <w:pPr>
        <w:pStyle w:val="ListBullet"/>
        <w:ind w:left="360" w:hanging="360"/>
      </w:pPr>
      <w:r>
        <w:rPr>
          <w:rFonts w:ascii="Calibri" w:hAnsi="Calibri"/>
          <w:b/>
          <w:color w:val="525866"/>
          <w:sz w:val="22"/>
        </w:rPr>
        <w:t xml:space="preserve">MSCI (Q2 2026): </w:t>
      </w:r>
      <w:r>
        <w:rPr>
          <w:rFonts w:ascii="Calibri" w:hAnsi="Calibri"/>
          <w:color w:val="525866"/>
          <w:sz w:val="22"/>
        </w:rPr>
        <w:t xml:space="preserve">Management is “pretty bullish” on the outlook, with a strong pipeline of opportunities and AI-fueled innovation. The overall environment is “pretty positive” among hedge funds, traders, and even active managers. MSCI is in the “first 2 or 3 innings” of the demand and product uptake cycle with hedge funds and traders. The sales pipeline is strong with some large potential deals that could benefit H2. Emerging risks (tariffs, energy supplies, AI impact on companies, supply chain) are areas where clients are clamoring for data sets and models. </w:t>
      </w:r>
      <w:r>
        <w:rPr>
          <w:rFonts w:ascii="Calibri" w:hAnsi="Calibri"/>
          <w:b/>
          <w:color w:val="525866"/>
          <w:sz w:val="22"/>
        </w:rPr>
        <w:t xml:space="preserve">SPGI implication: </w:t>
      </w:r>
      <w:r>
        <w:rPr>
          <w:rFonts w:ascii="Calibri" w:hAnsi="Calibri"/>
          <w:color w:val="525866"/>
          <w:sz w:val="22"/>
        </w:rPr>
        <w:t>Validates SPGI’s constructive macro view. The “early innings” framing for hedge fund/trader demand is relevant for SPGI Indices’ data &amp; custom subscription growth.</w:t>
      </w:r>
    </w:p>
    <w:p>
      <w:pPr>
        <w:pStyle w:val="ListBullet"/>
        <w:ind w:left="360" w:hanging="360"/>
      </w:pPr>
      <w:r>
        <w:rPr>
          <w:rFonts w:ascii="Calibri" w:hAnsi="Calibri"/>
          <w:b/>
          <w:color w:val="525866"/>
          <w:sz w:val="22"/>
        </w:rPr>
        <w:t xml:space="preserve">FDS (Fiscal Q3 2026): </w:t>
      </w:r>
      <w:r>
        <w:rPr>
          <w:rFonts w:ascii="Calibri" w:hAnsi="Calibri"/>
          <w:color w:val="525866"/>
          <w:sz w:val="22"/>
        </w:rPr>
        <w:t xml:space="preserve">Momentum continues into Q4 with a strong, diverse pipeline. FDS is ahead of last year in terms of bookings as of early July, and the pipeline is as robust as at the same time last year. FDS sees a clear line of sight to margin improvement in future quarters. </w:t>
      </w:r>
      <w:r>
        <w:rPr>
          <w:rFonts w:ascii="Calibri" w:hAnsi="Calibri"/>
          <w:b/>
          <w:color w:val="525866"/>
          <w:sz w:val="22"/>
        </w:rPr>
        <w:t xml:space="preserve">SPGI implication: </w:t>
      </w:r>
      <w:r>
        <w:rPr>
          <w:rFonts w:ascii="Calibri" w:hAnsi="Calibri"/>
          <w:color w:val="525866"/>
          <w:sz w:val="22"/>
        </w:rPr>
        <w:t>Positive read-through for SPGI MI’s Q2 and H2 subscription pipeline.</w:t>
      </w:r>
    </w:p>
    <w:p>
      <w:pPr>
        <w:pStyle w:val="ListBullet"/>
        <w:ind w:left="360" w:hanging="360"/>
      </w:pPr>
      <w:r>
        <w:rPr>
          <w:rFonts w:ascii="Calibri" w:hAnsi="Calibri"/>
          <w:b/>
          <w:color w:val="525866"/>
          <w:sz w:val="22"/>
        </w:rPr>
        <w:t xml:space="preserve">NDAQ (Q2 2026): </w:t>
      </w:r>
      <w:r>
        <w:rPr>
          <w:rFonts w:ascii="Calibri" w:hAnsi="Calibri"/>
          <w:color w:val="525866"/>
          <w:sz w:val="22"/>
        </w:rPr>
        <w:t xml:space="preserve">Nasdaq continues to operate in a constructive U.S. economic environment, supported by resilient corporate earnings, ongoing AI/digital infrastructure investment, and healthy consumer spending. The IPO environment is robust heading into H2. Nasdaq is on track for a projected launch of 23.5 trading on December 6, 2026. The financial system is undergoing significant modernization (23.5 trading, tokenized assets, AI across financial infrastructure, perpetual derivatives, prediction markets). </w:t>
      </w:r>
      <w:r>
        <w:rPr>
          <w:rFonts w:ascii="Calibri" w:hAnsi="Calibri"/>
          <w:b/>
          <w:color w:val="525866"/>
          <w:sz w:val="22"/>
        </w:rPr>
        <w:t xml:space="preserve">SPGI implication: </w:t>
      </w:r>
      <w:r>
        <w:rPr>
          <w:rFonts w:ascii="Calibri" w:hAnsi="Calibri"/>
          <w:color w:val="525866"/>
          <w:sz w:val="22"/>
        </w:rPr>
        <w:t>Positive for SPGI’s capital markets-sensitive businesses (Ratings, Indices). The financial system modernization themes (tokenization, AI, perpetual derivatives) are areas where SPGI is also investing.</w:t>
      </w:r>
    </w:p>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successful completion of the Mobility Global (MBGL) spin-off on July 1, 2026, which simplifies SPGI’s story to four high-quality divisions and unlocks significant capital return. The pro forma recast published July 6 creates a new reporting framework that investors will need to calibrate to heading into Q2 results.</w:t>
      </w:r>
    </w:p>
    <w:p>
      <w:pPr>
        <w:pStyle w:val="ListBullet"/>
        <w:ind w:left="360" w:hanging="360"/>
      </w:pPr>
      <w:r>
        <w:rPr>
          <w:rFonts w:ascii="Calibri" w:hAnsi="Calibri"/>
          <w:b/>
          <w:color w:val="525866"/>
          <w:sz w:val="22"/>
        </w:rPr>
        <w:t xml:space="preserve">July 1, 2026 — Mobility Global (MBGL) spin-off completed: </w:t>
      </w:r>
      <w:r>
        <w:rPr>
          <w:rFonts w:ascii="Calibri" w:hAnsi="Calibri"/>
          <w:color w:val="525866"/>
          <w:sz w:val="22"/>
        </w:rPr>
        <w:t xml:space="preserve">SPGI completed the separation of Mobility into an independent public company (NYSE: MBGL) at 12:01 a.m. on July 1, 2026, with a record date of June 15, 2026. Transition Services Agreement, Tax Agreement, and Employee Agreement were executed. </w:t>
      </w:r>
      <w:r>
        <w:rPr>
          <w:rFonts w:ascii="Calibri" w:hAnsi="Calibri"/>
          <w:b/>
          <w:color w:val="525866"/>
          <w:sz w:val="22"/>
        </w:rPr>
        <w:t xml:space="preserve">Implication: </w:t>
      </w:r>
      <w:r>
        <w:rPr>
          <w:rFonts w:ascii="Calibri" w:hAnsi="Calibri"/>
          <w:color w:val="525866"/>
          <w:sz w:val="22"/>
        </w:rPr>
        <w:t>Removes a structural overhang; SPGI now operates as a pure-play financial intelligence company with four divisions. Mobility debt proceeds ($2B raised in May 2026) are intended for SPGI share repurchases and debt reduction, supporting the &gt;100% FCF return target for 2026.</w:t>
      </w:r>
    </w:p>
    <w:p>
      <w:pPr>
        <w:pStyle w:val="ListBullet"/>
        <w:ind w:left="360" w:hanging="360"/>
      </w:pPr>
      <w:r>
        <w:rPr>
          <w:rFonts w:ascii="Calibri" w:hAnsi="Calibri"/>
          <w:b/>
          <w:color w:val="525866"/>
          <w:sz w:val="22"/>
        </w:rPr>
        <w:t xml:space="preserve">July 6, 2026 — Pro forma recast &amp; new segment disclosures: </w:t>
      </w:r>
      <w:r>
        <w:rPr>
          <w:rFonts w:ascii="Calibri" w:hAnsi="Calibri"/>
          <w:color w:val="525866"/>
          <w:sz w:val="22"/>
        </w:rPr>
        <w:t xml:space="preserve">SPGI published recast quarterly segment financials for 2025 and Q1 2026, reflecting the post-Mobility four-division structure and new business line disclosures (Kensho Data &amp; Platforms / Enterprise Solutions for MI; Platts / CERA for Energy). New expense allocation methodologies were also applied. </w:t>
      </w:r>
      <w:r>
        <w:rPr>
          <w:rFonts w:ascii="Calibri" w:hAnsi="Calibri"/>
          <w:b/>
          <w:color w:val="525866"/>
          <w:sz w:val="22"/>
        </w:rPr>
        <w:t xml:space="preserve">Implication: </w:t>
      </w:r>
      <w:r>
        <w:rPr>
          <w:rFonts w:ascii="Calibri" w:hAnsi="Calibri"/>
          <w:color w:val="525866"/>
          <w:sz w:val="22"/>
        </w:rPr>
        <w:t>Creates a new reporting framework. Investors will need to recalibrate models to the recast comparables. The new MI business line split (Kensho Data &amp; Platforms at 60% of MI revenue; Enterprise Solutions at 40%) provides more granularity on the higher-growth data/AI layer vs. the more mature enterprise software layer.</w:t>
      </w:r>
    </w:p>
    <w:p>
      <w:pPr>
        <w:pStyle w:val="ListBullet"/>
        <w:ind w:left="360" w:hanging="360"/>
      </w:pPr>
      <w:r>
        <w:rPr>
          <w:rFonts w:ascii="Calibri" w:hAnsi="Calibri"/>
          <w:b/>
          <w:color w:val="525866"/>
          <w:sz w:val="22"/>
        </w:rPr>
        <w:t xml:space="preserve">July 6, 2026 — Chief Legal Officer Steve Kemps to retire: </w:t>
      </w:r>
      <w:r>
        <w:rPr>
          <w:rFonts w:ascii="Calibri" w:hAnsi="Calibri"/>
          <w:color w:val="525866"/>
          <w:sz w:val="22"/>
        </w:rPr>
        <w:t xml:space="preserve">Steve Kemps, CLO since 2016, announced retirement effective December 31, 2026. A successor search has been launched. </w:t>
      </w:r>
      <w:r>
        <w:rPr>
          <w:rFonts w:ascii="Calibri" w:hAnsi="Calibri"/>
          <w:b/>
          <w:color w:val="525866"/>
          <w:sz w:val="22"/>
        </w:rPr>
        <w:t xml:space="preserve">Implication: </w:t>
      </w:r>
      <w:r>
        <w:rPr>
          <w:rFonts w:ascii="Calibri" w:hAnsi="Calibri"/>
          <w:color w:val="525866"/>
          <w:sz w:val="22"/>
        </w:rPr>
        <w:t>Second senior leadership departure in quick succession (after MI President Saugata Saha’s departure announced at Q1). Not operationally material but adds to organizational transition noise.</w:t>
      </w:r>
    </w:p>
    <w:p>
      <w:pPr>
        <w:pStyle w:val="ListBullet"/>
        <w:ind w:left="360" w:hanging="360"/>
      </w:pPr>
      <w:r>
        <w:rPr>
          <w:rFonts w:ascii="Calibri" w:hAnsi="Calibri"/>
          <w:b/>
          <w:color w:val="525866"/>
          <w:sz w:val="22"/>
        </w:rPr>
        <w:t xml:space="preserve">May 18, 2026 — Mobility unit raised $2B in private debt: </w:t>
      </w:r>
      <w:r>
        <w:rPr>
          <w:rFonts w:ascii="Calibri" w:hAnsi="Calibri"/>
          <w:color w:val="525866"/>
          <w:sz w:val="22"/>
        </w:rPr>
        <w:t xml:space="preserve">Mobility priced a multi-billion dollar debt offering ahead of the spin-off. </w:t>
      </w:r>
      <w:r>
        <w:rPr>
          <w:rFonts w:ascii="Calibri" w:hAnsi="Calibri"/>
          <w:b/>
          <w:color w:val="525866"/>
          <w:sz w:val="22"/>
        </w:rPr>
        <w:t xml:space="preserve">Implication: </w:t>
      </w:r>
      <w:r>
        <w:rPr>
          <w:rFonts w:ascii="Calibri" w:hAnsi="Calibri"/>
          <w:color w:val="525866"/>
          <w:sz w:val="22"/>
        </w:rPr>
        <w:t>Proceeds flow to SPGI for share repurchases and debt reduction, supporting the elevated capital return target.</w:t>
      </w:r>
    </w:p>
    <w:p>
      <w:pPr>
        <w:pStyle w:val="ListBullet"/>
        <w:ind w:left="360" w:hanging="360"/>
      </w:pPr>
      <w:r>
        <w:rPr>
          <w:rFonts w:ascii="Calibri" w:hAnsi="Calibri"/>
          <w:b/>
          <w:color w:val="525866"/>
          <w:sz w:val="22"/>
        </w:rPr>
        <w:t xml:space="preserve">May 12, 2026 — Mobility Investor Day: </w:t>
      </w:r>
      <w:r>
        <w:rPr>
          <w:rFonts w:ascii="Calibri" w:hAnsi="Calibri"/>
          <w:color w:val="525866"/>
          <w:sz w:val="22"/>
        </w:rPr>
        <w:t xml:space="preserve">Mobility held its investor day ahead of the spin-off, providing standalone financial targets and business overview. </w:t>
      </w:r>
      <w:r>
        <w:rPr>
          <w:rFonts w:ascii="Calibri" w:hAnsi="Calibri"/>
          <w:b/>
          <w:color w:val="525866"/>
          <w:sz w:val="22"/>
        </w:rPr>
        <w:t xml:space="preserve">Implication: </w:t>
      </w:r>
      <w:r>
        <w:rPr>
          <w:rFonts w:ascii="Calibri" w:hAnsi="Calibri"/>
          <w:color w:val="525866"/>
          <w:sz w:val="22"/>
        </w:rPr>
        <w:t>Helped investors understand the standalone Mobility business and the residual SPGI entity. The stock sold off ~5% in the days following the Investor Day, likely reflecting investor recalibration of the post-spin SPGI earnings power.</w:t>
      </w:r>
    </w:p>
    <w:p>
      <w:pPr>
        <w:pStyle w:val="ListBullet"/>
        <w:ind w:left="360" w:hanging="360"/>
      </w:pPr>
      <w:r>
        <w:rPr>
          <w:rFonts w:ascii="Calibri" w:hAnsi="Calibri"/>
          <w:b/>
          <w:color w:val="525866"/>
          <w:sz w:val="22"/>
        </w:rPr>
        <w:t xml:space="preserve">May 7, 2026 — Form 10 publicly filed: </w:t>
      </w:r>
      <w:r>
        <w:rPr>
          <w:rFonts w:ascii="Calibri" w:hAnsi="Calibri"/>
          <w:color w:val="525866"/>
          <w:sz w:val="22"/>
        </w:rPr>
        <w:t xml:space="preserve">SPGI filed the Form 10 registration statement for Mobility Global, advancing the spin-off timeline. </w:t>
      </w:r>
      <w:r>
        <w:rPr>
          <w:rFonts w:ascii="Calibri" w:hAnsi="Calibri"/>
          <w:b/>
          <w:color w:val="525866"/>
          <w:sz w:val="22"/>
        </w:rPr>
        <w:t xml:space="preserve">Implication: </w:t>
      </w:r>
      <w:r>
        <w:rPr>
          <w:rFonts w:ascii="Calibri" w:hAnsi="Calibri"/>
          <w:color w:val="525866"/>
          <w:sz w:val="22"/>
        </w:rPr>
        <w:t>Confirmed the spin-off was on track and provided detailed Mobility standalone financials for the first time.</w:t>
      </w:r>
    </w:p>
    <w:p>
      <w:pPr>
        <w:pStyle w:val="ListBullet"/>
        <w:ind w:left="360" w:hanging="360"/>
      </w:pPr>
      <w:r>
        <w:rPr>
          <w:rFonts w:ascii="Calibri" w:hAnsi="Calibri"/>
          <w:b/>
          <w:color w:val="525866"/>
          <w:sz w:val="22"/>
        </w:rPr>
        <w:t xml:space="preserve">Q1 2026 (April 28) — Energy guidance lowered ~1pp; Iran conflict headwind: </w:t>
      </w:r>
      <w:r>
        <w:rPr>
          <w:rFonts w:ascii="Calibri" w:hAnsi="Calibri"/>
          <w:color w:val="525866"/>
          <w:sz w:val="22"/>
        </w:rPr>
        <w:t xml:space="preserve">Management lowered full-year Energy organic CC revenue growth guidance by ~1pp due to the Iran conflict creating direct disruption for energy customers, suppressing subscription revenue and near-term pipeline. Q2 Energy expected to fall below the full-year guidance range before recovering in H2. </w:t>
      </w:r>
      <w:r>
        <w:rPr>
          <w:rFonts w:ascii="Calibri" w:hAnsi="Calibri"/>
          <w:b/>
          <w:color w:val="525866"/>
          <w:sz w:val="22"/>
        </w:rPr>
        <w:t xml:space="preserve">Implication: </w:t>
      </w:r>
      <w:r>
        <w:rPr>
          <w:rFonts w:ascii="Calibri" w:hAnsi="Calibri"/>
          <w:color w:val="525866"/>
          <w:sz w:val="22"/>
        </w:rPr>
        <w:t>Energy is the one deliberate miss in Q2. The key question is whether the Iran situation has stabilized (management’s base case was stabilization by end of Q2) and whether H2 recovery is on track.</w:t>
      </w:r>
    </w:p>
    <w:p>
      <w:pPr>
        <w:pStyle w:val="ListBullet"/>
        <w:ind w:left="360" w:hanging="360"/>
      </w:pPr>
      <w:r>
        <w:rPr>
          <w:rFonts w:ascii="Calibri" w:hAnsi="Calibri"/>
          <w:b/>
          <w:color w:val="525866"/>
          <w:sz w:val="22"/>
        </w:rPr>
        <w:t xml:space="preserve">Q1 2026 (April 28) — MI President Saugata Saha departure announced: </w:t>
      </w:r>
      <w:r>
        <w:rPr>
          <w:rFonts w:ascii="Calibri" w:hAnsi="Calibri"/>
          <w:color w:val="525866"/>
          <w:sz w:val="22"/>
        </w:rPr>
        <w:t xml:space="preserve">Saugata Saha, President of Market Intelligence and Chief Enterprise Data Officer, announced departure effective July 30, 2026 to take a CEO role at a technology company. The Enterprise Data Organization (EDO) was moved under Chief Technology and Transformation Officer Firdaus Bhathena. A broader review of MI leadership and organizational structure is underway. </w:t>
      </w:r>
      <w:r>
        <w:rPr>
          <w:rFonts w:ascii="Calibri" w:hAnsi="Calibri"/>
          <w:b/>
          <w:color w:val="525866"/>
          <w:sz w:val="22"/>
        </w:rPr>
        <w:t xml:space="preserve">Implication: </w:t>
      </w:r>
      <w:r>
        <w:rPr>
          <w:rFonts w:ascii="Calibri" w:hAnsi="Calibri"/>
          <w:color w:val="525866"/>
          <w:sz w:val="22"/>
        </w:rPr>
        <w:t>Creates near-term uncertainty around MI strategy and execution. Management framed the EDO move as enabling faster AI integration and margin improvement. The revenue transformation Saha led (simplifying commission plans from 60+ to 10) is largely complete, providing a stable foundation for the next leader.</w:t>
      </w:r>
    </w:p>
    <w:p>
      <w:pPr>
        <w:pStyle w:val="ListBullet"/>
        <w:ind w:left="360" w:hanging="360"/>
      </w:pPr>
      <w:r>
        <w:rPr>
          <w:rFonts w:ascii="Calibri" w:hAnsi="Calibri"/>
          <w:b/>
          <w:color w:val="525866"/>
          <w:sz w:val="22"/>
        </w:rPr>
        <w:t xml:space="preserve">Analyst rating actions (post Q1 2026): </w:t>
      </w:r>
      <w:r>
        <w:rPr>
          <w:rFonts w:ascii="Calibri" w:hAnsi="Calibri"/>
          <w:color w:val="525866"/>
          <w:sz w:val="22"/>
        </w:rPr>
        <w:t xml:space="preserve">JPMorgan Chase raised its price target on SPGI to $555 from $535, reiterating an Overweight rating, signaling confidence in ~24% upside from current levels (~$440). Average analyst price target is ~$518–$535 with a “Moderate Buy” consensus rating. </w:t>
      </w:r>
      <w:r>
        <w:rPr>
          <w:rFonts w:ascii="Calibri" w:hAnsi="Calibri"/>
          <w:b/>
          <w:color w:val="525866"/>
          <w:sz w:val="22"/>
        </w:rPr>
        <w:t xml:space="preserve">Implication: </w:t>
      </w:r>
      <w:r>
        <w:rPr>
          <w:rFonts w:ascii="Calibri" w:hAnsi="Calibri"/>
          <w:color w:val="525866"/>
          <w:sz w:val="22"/>
        </w:rPr>
        <w:t>Analyst community remains constructive; the gap between current price (~$440) and average PT (~$525) suggests meaningful upside if SPGI executes on its post-spin strategy.</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Three open-market purchases by senior executives (CEO Martina Cheung, new Indices CEO Cathy Clay, and Director Robert Moritz) in late April/early May 2026 — all within days of Q1 earnings — are a modestly positive signal. The purchases are small in dollar terms but directionally constructive, particularly the CEO’s open-market buy. No open-market sales were filed in the period.</w:t>
      </w:r>
    </w:p>
    <w:p>
      <w:r>
        <w:rPr>
          <w:rFonts w:ascii="Calibri" w:hAnsi="Calibri"/>
          <w:i/>
          <w:color w:val="525866"/>
          <w:sz w:val="22"/>
        </w:rPr>
        <w:t>Source: SEC Form 4 filings via Insider Transaction Data. Only open-market buys (code P) and open-market sales (code S) are flagged as discretionary signals. RSU/PSU awards (code A) and vesting dispositions (code D) are compensation-driven and not directional signals. No open-market sales were filed by SPGI insiders in the period from April 28 to July 28, 2026.</w:t>
      </w:r>
    </w:p>
    <w:p>
      <w:r>
        <w:rPr>
          <w:rFonts w:ascii="Calibri" w:hAnsi="Calibri"/>
          <w:b/>
          <w:color w:val="525866"/>
          <w:sz w:val="22"/>
        </w:rPr>
        <w:t xml:space="preserve">Data Sources: </w:t>
      </w:r>
      <w:r>
        <w:rPr>
          <w:rFonts w:ascii="Calibri" w:hAnsi="Calibri"/>
          <w:color w:val="525866"/>
          <w:sz w:val="22"/>
        </w:rPr>
        <w:t>Visible Alpha (consensus estimates and actuals); S&amp;P Global SEC filings and press releases (8-K, 8-K/A, Form 10, earnings releases); MCO, MSCI, NDAQ, FDS Q2 2026 earnings call transcripts; Yahoo Finance (stock price data); SEC Form 4 filings (insider transactions). Prepared July 27,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