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x-earnings-predictions--2026-07-28"/>
    <w:p>
      <w:pPr>
        <w:pStyle w:val="Heading1"/>
      </w:pPr>
      <w:r>
        <w:t xml:space="preserve">STX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~$3.56B vs. cons $3.49B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~$5.30 vs. cons $5.10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(FQ4'26)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~48.5% vs. cons ~47.3%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FQ1'27 revenue guide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3.62B (Sep-qtr FQ1'27)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FQ1'27 non-GAAP EPS guide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5.45 (Sep-qtr FQ1'27)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FY27 revenue growth framework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guide ~20%+ growth (~</w:t>
            </w:r>
            <m:oMath>
              <m:r>
                <m:t>15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14.5B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return / buyback pivot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guide majority of FCF to buybacks +</w:t>
            </w:r>
            <w:r>
              <w:t xml:space="preserve"> </w:t>
            </w:r>
            <m:oMath>
              <m:r>
                <m:t>0.74</m:t>
              </m:r>
              <m:r>
                <m:t>d</m:t>
              </m:r>
              <m:r>
                <m:t>i</m:t>
              </m:r>
              <m:r>
                <m:t>v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0.74 div only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FQ1'27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3.75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3.62B (Sep-qtr FQ1'27)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FQ1'27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5.45 (Sep-qtr FQ1'27)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FQ1'27 non-GAAP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low-40s% (~42%) vs. cons ~41% (Sep-qtr FQ1'27)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multi-year growth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20%+ growth vs. cons ~15-18% (~$14.5B 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allocation shift to buybacks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majority of FCF to repurchase vs. cons debt-paydown/div-only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beat-and-raise (rev/EPS above guide, FQ1'27 and FY27 framework above Street plus a buyback pivot) drives a relief pop into a stock that already de-risked ~25% from its ~$1,094 June peak to $817. But valuation/positioning are stretched after a ~5.5x run, HDD/memory sentiment has cooled (WDC collapsed ~33% off recent highs into the print), and the out-period is near-fully-allocated with flat units, so upside revisions are modest and multiple compression caps follow-through. Net: the day-1 gain largely holds but does not extend materially amid high two-way volatility.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2026-07-28T01:16:09Z</dcterms:created>
  <dcterms:modified xsi:type="dcterms:W3CDTF">2026-07-28T01:16:09Z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