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tx-earnings-predictions--2026-07-28"/>
    <w:p>
      <w:pPr>
        <w:pStyle w:val="Heading1"/>
      </w:pPr>
      <w:r>
        <w:t xml:space="preserve">STX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(FQ4'26)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~$3.65B vs. cons $3.49B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(FQ4'26)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~$5.35 vs. cons $5.10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Gross Margin (FQ4'26)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~48.7% vs. cons ~47.3%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guide (FQ1'27)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3.75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3.65B (FQ1 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EPS guide (FQ1'27)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5.45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5.20 (FQ1 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Multi-year revenue growth target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~20%+ CAGR reiterated vs. cons ~20% CAGR baked in (multi-year FY27-FY29 framework)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+6.5%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+8.5% (FOLLOW-THROUGH)</w:t>
            </w:r>
          </w:p>
        </w:tc>
        <w:tc>
          <w:tcPr/>
          <w:p>
            <w:pPr>
              <w:pStyle w:val="Compact"/>
            </w:pPr>
            <w:r>
              <w:t xml:space="preserve">Consensus already sits above STX's own guide, so a clean beat-and-raise (5th straight quarter) plus reiterated/raised FY27 growth framework and nearline capacity booked into 2027 should trigger a wave of price-target hikes (Citi/Wells/Wedbush already primed at $1,000-1,240) rather than an immediate fade; the pre-print 25% pullback already de-risked some of the 'priced for perfection' setup, reducing sell-the-news dynamics. Residual could still be capped versus day-1 pop as high-multiple positioning and any softness in incremental gross-margin commentary or HAMR yield/ramp details prompt partial give-back, so follow-through is moderate rather than explosive.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2026-07-28T01:15:33Z</dcterms:created>
  <dcterms:modified xsi:type="dcterms:W3CDTF">2026-07-28T01:15:33Z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