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b6ba610dd0abafe1090e624981132a953632170"/>
    <w:p>
      <w:pPr>
        <w:pStyle w:val="Heading1"/>
      </w:pPr>
      <w:r>
        <w:t xml:space="preserve">Seagate Technology (STX) — Fiscal Q4 2026 Earnings Preview</w:t>
      </w:r>
    </w:p>
    <w:p>
      <w:pPr>
        <w:pStyle w:val="FirstParagraph"/>
      </w:pPr>
      <w:r>
        <w:rPr>
          <w:b/>
          <w:bCs/>
        </w:rPr>
        <w:t xml:space="preserve">Report date:</w:t>
      </w:r>
      <w:r>
        <w:t xml:space="preserve"> </w:t>
      </w:r>
      <w:r>
        <w:t xml:space="preserve">Tuesday, July 28, 2026, after market close. Conference call at 2:00 PM PT / 5:00 PM ET.</w:t>
      </w:r>
    </w:p>
    <w:bookmarkStart w:id="9" w:name="X642d14ef0e70f0568cb9d1a9ed73ebb65640141"/>
    <w:p>
      <w:pPr>
        <w:pStyle w:val="Heading2"/>
      </w:pPr>
      <w:r>
        <w:t xml:space="preserve">Setup: A stock priced for perfection after a historic run</w:t>
      </w:r>
    </w:p>
    <w:p>
      <w:pPr>
        <w:pStyle w:val="FirstParagraph"/>
      </w:pPr>
      <w:r>
        <w:t xml:space="preserve">STX enters this print as one of the most explosive trades of the AI infrastructure cycle. The stock is up roughly 230% year-to-date and has delivered an impressive performance over the past year, rising 484.8%, notably outpacing the S&amp;P 500 Index's 20.1% gains. However, the shares have cooled off meaningfully into the print — STX stock has surged 230.6% so far this year, but has fallen from an all-time high near $1,094 (June 22) to around $817 as of July 27, a pullback of roughly 25%, amid a broader semiconductor/storage risk-off move (Western Digital fell 8% on July 27 on unrelated China chipmaking-equipment headlines). Options markets are bracing for a big move: STX is set to report its fiscal fourth-quarter results after the market closes on July 28... Options Traders Brace for 18% Move, and analysts predict a 12% stock price swing post-earnings, driven by robust demand for HDDs, especially in AI and cloud sectors.</w:t>
      </w:r>
    </w:p>
    <w:bookmarkEnd w:id="9"/>
    <w:bookmarkStart w:id="10" w:name="Xa25b4fed38db90c13337fd732a68036ecff2beb"/>
    <w:p>
      <w:pPr>
        <w:pStyle w:val="Heading2"/>
      </w:pPr>
      <w:r>
        <w:t xml:space="preserve">Last quarter recap (FQ3 2026, reported April 28)</w:t>
      </w:r>
    </w:p>
    <w:p>
      <w:pPr>
        <w:pStyle w:val="FirstParagraph"/>
      </w:pPr>
      <w:r>
        <w:t xml:space="preserve">Seagate's March quarter was a blowout that reset the narrative around the company:</w:t>
      </w:r>
    </w:p>
    <w:p>
      <w:pPr>
        <w:pStyle w:val="Compact"/>
        <w:numPr>
          <w:ilvl w:val="0"/>
          <w:numId w:val="1001"/>
        </w:numPr>
      </w:pPr>
      <w:r>
        <w:t xml:space="preserve">Fiscal Q3 revenue landed at $3.11 billion, up 44.07% year over year, beating consensus by 5.22%. Non-GAAP EPS of $4.10 cleared the $3.506 estimate by 16.94%.</w:t>
      </w:r>
    </w:p>
    <w:p>
      <w:pPr>
        <w:pStyle w:val="Compact"/>
        <w:numPr>
          <w:ilvl w:val="0"/>
          <w:numId w:val="1001"/>
        </w:numPr>
      </w:pPr>
      <w:r>
        <w:t xml:space="preserve">Non-GAAP gross margin hit a record 47.0%, up from 36.2% a year ago, and non-GAAP operating margin expanded to 37.5%.</w:t>
      </w:r>
    </w:p>
    <w:p>
      <w:pPr>
        <w:pStyle w:val="Compact"/>
        <w:numPr>
          <w:ilvl w:val="0"/>
          <w:numId w:val="1001"/>
        </w:numPr>
      </w:pPr>
      <w:r>
        <w:t xml:space="preserve">Free cash flow reached $953 million (31% margin), one of the highest levels in over a decade, and the company retired $641 million of debt while returning $191 million to shareholders.</w:t>
      </w:r>
    </w:p>
    <w:p>
      <w:pPr>
        <w:pStyle w:val="Compact"/>
        <w:numPr>
          <w:ilvl w:val="0"/>
          <w:numId w:val="1001"/>
        </w:numPr>
      </w:pPr>
      <w:r>
        <w:t xml:space="preserve">Management raised its long-term revenue growth target: CEO Dave Mosley raised the multi-year revenue growth target from low- to mid-teens to a minimum of 20% over the next few years.</w:t>
      </w:r>
    </w:p>
    <w:bookmarkEnd w:id="10"/>
    <w:bookmarkStart w:id="11" w:name="X1526817d386ff05f698e10086fb95bfbd2f9982"/>
    <w:p>
      <w:pPr>
        <w:pStyle w:val="Heading2"/>
      </w:pPr>
      <w:r>
        <w:t xml:space="preserve">What guidance and Street consensus say for this quarter</w:t>
      </w:r>
    </w:p>
    <w:p>
      <w:pPr>
        <w:pStyle w:val="FirstParagraph"/>
      </w:pPr>
      <w:r>
        <w:t xml:space="preserve">Seagate's own guidance for FQ4 2026 called for</w:t>
      </w:r>
      <w:r>
        <w:t xml:space="preserve"> </w:t>
      </w:r>
      <w:r>
        <w:rPr>
          <w:b/>
          <w:bCs/>
        </w:rPr>
        <w:t xml:space="preserve">revenue of $3.45B ± $100M and non-GAAP EPS of $5.00 ± $0.20</w:t>
      </w:r>
      <w:r>
        <w:t xml:space="preserve">. The Street has since pushed above the midpoint of that range, setting up a high bar:</w:t>
      </w:r>
    </w:p>
    <w:p>
      <w:pPr>
        <w:pStyle w:val="Compact"/>
        <w:numPr>
          <w:ilvl w:val="0"/>
          <w:numId w:val="1002"/>
        </w:numPr>
      </w:pPr>
      <w:r>
        <w:t xml:space="preserve">The Zacks Consensus Estimate for earnings is pegged at $5.10 per share, indicating a 96.9% year-over-year increase... revenues is $3.5 billion, suggesting a 43% uptick from the year-ago actual.</w:t>
      </w:r>
    </w:p>
    <w:p>
      <w:pPr>
        <w:pStyle w:val="Compact"/>
        <w:numPr>
          <w:ilvl w:val="0"/>
          <w:numId w:val="1002"/>
        </w:numPr>
      </w:pPr>
      <w:r>
        <w:t xml:space="preserve">Analyst Matt Bryson maintains an Overweight rating, predicting that Seagate will surpass consensus estimates of $5.08 per share on $3.49 billion in revenue for its fiscal fourth quarter.</w:t>
      </w:r>
    </w:p>
    <w:p>
      <w:pPr>
        <w:pStyle w:val="Compact"/>
        <w:numPr>
          <w:ilvl w:val="0"/>
          <w:numId w:val="1002"/>
        </w:numPr>
      </w:pPr>
      <w:r>
        <w:t xml:space="preserve">Track record supports optimism: STX's earnings beat the Zacks Consensus Estimate in each of the trailing four quarters, with the average surprise being 10.7%.</w:t>
      </w:r>
    </w:p>
    <w:p>
      <w:pPr>
        <w:pStyle w:val="Compact"/>
        <w:numPr>
          <w:ilvl w:val="0"/>
          <w:numId w:val="1002"/>
        </w:numPr>
      </w:pPr>
      <w:r>
        <w:t xml:space="preserve">Full-year framing: For the current year, analysts expect STX to report EPS of $14.14, up 94.8% from $7.26 in fiscal 2025. Its EPS is expected to rise 91.8% year over year to $27.12 in fiscal 2027.</w:t>
      </w:r>
    </w:p>
    <w:bookmarkEnd w:id="11"/>
    <w:bookmarkStart w:id="12" w:name="Xd53938280d9b71ddb97b97c79f5853f8a374dab"/>
    <w:p>
      <w:pPr>
        <w:pStyle w:val="Heading2"/>
      </w:pPr>
      <w:r>
        <w:t xml:space="preserve">The bull case underpinning Street sentiment</w:t>
      </w:r>
    </w:p>
    <w:p>
      <w:pPr>
        <w:pStyle w:val="FirstParagraph"/>
      </w:pPr>
      <w:r>
        <w:t xml:space="preserve">Sell-side commentary has turned increasingly aggressive on price targets in the days ahead of the print, reflecting confidence that structural HDD scarcity — not just cyclical AI enthusiasm — is driving the story:</w:t>
      </w:r>
    </w:p>
    <w:p>
      <w:pPr>
        <w:pStyle w:val="Compact"/>
        <w:numPr>
          <w:ilvl w:val="0"/>
          <w:numId w:val="1003"/>
        </w:numPr>
      </w:pPr>
      <w:r>
        <w:rPr>
          <w:b/>
          <w:bCs/>
        </w:rPr>
        <w:t xml:space="preserve">Citi (Asiya Merchant):</w:t>
      </w:r>
      <w:r>
        <w:t xml:space="preserve"> </w:t>
      </w:r>
      <w:r>
        <w:t xml:space="preserve">raised her price target on STX from $1,150 to $1,240, implying 36.6% upside potential, citing strong AI-driven demand and limited HDD supply... AI data center demand continues to outpace supply and expects the imbalance to last through 2028, supporting stronger pricing and profitability... HDD makers are not expanding production, which should keep supply tight... the relatively high cost of SSDs should support Seagate's pricing power.</w:t>
      </w:r>
    </w:p>
    <w:p>
      <w:pPr>
        <w:pStyle w:val="Compact"/>
        <w:numPr>
          <w:ilvl w:val="0"/>
          <w:numId w:val="1003"/>
        </w:numPr>
      </w:pPr>
      <w:r>
        <w:rPr>
          <w:b/>
          <w:bCs/>
        </w:rPr>
        <w:t xml:space="preserve">Wells Fargo (Aaron Rakers):</w:t>
      </w:r>
      <w:r>
        <w:t xml:space="preserve"> </w:t>
      </w:r>
      <w:r>
        <w:t xml:space="preserve">upgraded STX to Buy from Hold and raised his price target to $1,100 from $900. Earlier in July, Rakers reiterated Overweight after Wells Fargo analyst Aaron Rakers reiterated an "Overweight" rating and set a $1,100 price target, implying about 22% upside... citing strong, long-term demand for high-capacity data storage driven by AI infrastructure and cloud investments.</w:t>
      </w:r>
    </w:p>
    <w:p>
      <w:pPr>
        <w:pStyle w:val="Compact"/>
        <w:numPr>
          <w:ilvl w:val="0"/>
          <w:numId w:val="1003"/>
        </w:numPr>
      </w:pPr>
      <w:r>
        <w:rPr>
          <w:b/>
          <w:bCs/>
        </w:rPr>
        <w:t xml:space="preserve">Wedbush (Matt Bryson):</w:t>
      </w:r>
      <w:r>
        <w:t xml:space="preserve"> </w:t>
      </w:r>
      <w:r>
        <w:t xml:space="preserve">raised its price target for Seagate Technologies STX from $825 to $1,000, anticipating a positive earnings report driven by margin improvements and slight price increases.</w:t>
      </w:r>
    </w:p>
    <w:p>
      <w:pPr>
        <w:pStyle w:val="Compact"/>
        <w:numPr>
          <w:ilvl w:val="0"/>
          <w:numId w:val="1003"/>
        </w:numPr>
      </w:pPr>
      <w:r>
        <w:t xml:space="preserve">Broader tape: The mean price target of $1,015.43 implies potential upside of approximately 19% from current levels. The highest target price for STX stock stands at $1,600, while the lowest target price is $720 per share... analysts continue to look optimistically at Seagate stock with a consensus "Strong Buy" rating.</w:t>
      </w:r>
    </w:p>
    <w:bookmarkEnd w:id="12"/>
    <w:bookmarkStart w:id="13" w:name="key-themes-to-watch-on-the-call"/>
    <w:p>
      <w:pPr>
        <w:pStyle w:val="Heading2"/>
      </w:pPr>
      <w:r>
        <w:t xml:space="preserve">Key themes to watch on the call</w:t>
      </w:r>
    </w:p>
    <w:p>
      <w:pPr>
        <w:pStyle w:val="FirstParagraph"/>
      </w:pPr>
      <w:r>
        <w:rPr>
          <w:b/>
          <w:bCs/>
        </w:rPr>
        <w:t xml:space="preserve">1. Cloud/hyperscaler demand visibility and pricing.</w:t>
      </w:r>
      <w:r>
        <w:t xml:space="preserve"> </w:t>
      </w:r>
      <w:r>
        <w:t xml:space="preserve">On the March-quarter call, management said nearline capacity is "almost fully allocated through calendar 2027," build-to-order contracts through fiscal 2027 were being finalized, and the top three CSPs' remaining performance obligations had "nearly doubled" to $1.1 trillion — watch for updates on whether FY2027 contracts are now fully locked and how pricing per exabyte is trending as new agreements roll in.</w:t>
      </w:r>
    </w:p>
    <w:p>
      <w:pPr>
        <w:pStyle w:val="BodyText"/>
      </w:pPr>
      <w:r>
        <w:rPr>
          <w:b/>
          <w:bCs/>
        </w:rPr>
        <w:t xml:space="preserve">2. Mozaic/HAMR ramp.</w:t>
      </w:r>
      <w:r>
        <w:t xml:space="preserve"> </w:t>
      </w:r>
      <w:r>
        <w:t xml:space="preserve">Seagate began shipping its second-generation Mozaic 4 (44TB/drive) in late March and expects it to represent a majority of HAMR exabyte shipments exiting calendar 2026, with Mozaic 5 (50TB) qualification targeted for late calendar 2027. Investors will want confirmation the ramp is tracking (or ahead of) plan, since HAMR mix is the primary driver of the margin expansion story.</w:t>
      </w:r>
    </w:p>
    <w:p>
      <w:pPr>
        <w:pStyle w:val="BodyText"/>
      </w:pPr>
      <w:r>
        <w:rPr>
          <w:b/>
          <w:bCs/>
        </w:rPr>
        <w:t xml:space="preserve">3. Margin trajectory and the "structural growth" narrative.</w:t>
      </w:r>
      <w:r>
        <w:t xml:space="preserve"> </w:t>
      </w:r>
      <w:r>
        <w:t xml:space="preserve">Management has now raised its multi-year revenue growth target to a minimum of 20% (from low-to-mid teens) and has been delivering ~70%+ incremental gross margins versus an original 50% target. Confirmation that this leverage persists — plus commentary on OpEx discipline (targeted flat in dollar terms) — will be critical to justifying current multiples.</w:t>
      </w:r>
    </w:p>
    <w:p>
      <w:pPr>
        <w:pStyle w:val="BodyText"/>
      </w:pPr>
      <w:r>
        <w:rPr>
          <w:b/>
          <w:bCs/>
        </w:rPr>
        <w:t xml:space="preserve">4. Capital allocation.</w:t>
      </w:r>
      <w:r>
        <w:t xml:space="preserve"> </w:t>
      </w:r>
      <w:r>
        <w:t xml:space="preserve">With net leverage down to 0.7x, a recent Fitch investment-grade upgrade, and management signaling a pivot from debt paydown toward shareholder returns (active buybacks, dividend), watch for capital return updates and any additional convertible-note retirement (roughly $400M of 2028 exchangeables remained as of the last call).</w:t>
      </w:r>
    </w:p>
    <w:p>
      <w:pPr>
        <w:pStyle w:val="BodyText"/>
      </w:pPr>
      <w:r>
        <w:rPr>
          <w:b/>
          <w:bCs/>
        </w:rPr>
        <w:t xml:space="preserve">5. AI-driven demand durability — agentic AI, inference, and physical AI.</w:t>
      </w:r>
      <w:r>
        <w:t xml:space="preserve"> </w:t>
      </w:r>
      <w:r>
        <w:t xml:space="preserve">Management has been building a case that inference workloads, agentic AI, and physical AI (autonomous vehicles, robotics) are incremental demand drivers beyond training, alongside the well-established cloud buildout narrative. Any softening or reinforcing commentary here matters given how much of the valuation is predicated on multi-year secular growth rather than a cyclical upcycle.</w:t>
      </w:r>
    </w:p>
    <w:p>
      <w:pPr>
        <w:pStyle w:val="BodyText"/>
      </w:pPr>
      <w:r>
        <w:rPr>
          <w:b/>
          <w:bCs/>
        </w:rPr>
        <w:t xml:space="preserve">6. Macro/geopolitical caveats.</w:t>
      </w:r>
      <w:r>
        <w:t xml:space="preserve"> </w:t>
      </w:r>
      <w:r>
        <w:t xml:space="preserve">The April quarter's guidance already noted "minimal expected impact" from tariffs and Middle East conflict; any change in that language, or new China-related trade/export developments (a live issue in the sector, as seen with Monday's chip-stock selloff tied to Chinese chipmaking capacity headlines), would be worth flagging.</w:t>
      </w:r>
    </w:p>
    <w:bookmarkEnd w:id="13"/>
    <w:bookmarkStart w:id="14" w:name="risks-into-the-print"/>
    <w:p>
      <w:pPr>
        <w:pStyle w:val="Heading2"/>
      </w:pPr>
      <w:r>
        <w:t xml:space="preserve">Risks into the print</w:t>
      </w:r>
    </w:p>
    <w:p>
      <w:pPr>
        <w:pStyle w:val="Compact"/>
        <w:numPr>
          <w:ilvl w:val="0"/>
          <w:numId w:val="1004"/>
        </w:numPr>
      </w:pPr>
      <w:r>
        <w:rPr>
          <w:b/>
          <w:bCs/>
        </w:rPr>
        <w:t xml:space="preserve">Valuation/positioning risk:</w:t>
      </w:r>
      <w:r>
        <w:t xml:space="preserve"> </w:t>
      </w:r>
      <w:r>
        <w:t xml:space="preserve">With shares still up massively YTD despite the recent pullback, and options pricing in a mid-teens percentage move, the bar for an unambiguous "beat and raise" is high — in-line results could disappoint given elevated expectations. The biggest risk today is that data-center storage demand eventually slows.</w:t>
      </w:r>
    </w:p>
    <w:p>
      <w:pPr>
        <w:pStyle w:val="Compact"/>
        <w:numPr>
          <w:ilvl w:val="0"/>
          <w:numId w:val="1004"/>
        </w:numPr>
      </w:pPr>
      <w:r>
        <w:rPr>
          <w:b/>
          <w:bCs/>
        </w:rPr>
        <w:t xml:space="preserve">Insider selling:</w:t>
      </w:r>
      <w:r>
        <w:t xml:space="preserve"> </w:t>
      </w:r>
      <w:r>
        <w:t xml:space="preserve">Recent Form 4 filings show insider sales, including Seagate's EVP &amp; Chief Legal Officer selling roughly $491K (35% of holdings) in late July, and insider activity shows significant selling, with $126.7 million in shares sold over the past three months — not necessarily bearish, but a datapoint some investors watch around high-multiple, high-momentum names.</w:t>
      </w:r>
    </w:p>
    <w:p>
      <w:pPr>
        <w:pStyle w:val="Compact"/>
        <w:numPr>
          <w:ilvl w:val="0"/>
          <w:numId w:val="1004"/>
        </w:numPr>
      </w:pPr>
      <w:r>
        <w:rPr>
          <w:b/>
          <w:bCs/>
        </w:rPr>
        <w:t xml:space="preserve">Execution risk on HAMR yields/ramp</w:t>
      </w:r>
      <w:r>
        <w:t xml:space="preserve"> </w:t>
      </w:r>
      <w:r>
        <w:t xml:space="preserve">and the durability of the current pricing regime as more capacity comes online industry-wide.</w:t>
      </w:r>
    </w:p>
    <w:p>
      <w:pPr>
        <w:pStyle w:val="Compact"/>
        <w:numPr>
          <w:ilvl w:val="0"/>
          <w:numId w:val="1004"/>
        </w:numPr>
      </w:pPr>
      <w:r>
        <w:rPr>
          <w:b/>
          <w:bCs/>
        </w:rPr>
        <w:t xml:space="preserve">Macro/trade-policy volatility</w:t>
      </w:r>
      <w:r>
        <w:t xml:space="preserve">, illustrated by Monday's semiconductor-sector selloff tied to a large Chinese IPO and reports of a state-backed Chinese firm ramping chip-manufacturing equipment production — a reminder that sentiment in memory/storage-adjacent names can swing quickly on China-related supply headlines.</w:t>
      </w:r>
    </w:p>
    <w:bookmarkEnd w:id="14"/>
    <w:bookmarkStart w:id="15" w:name="bottom-line"/>
    <w:p>
      <w:pPr>
        <w:pStyle w:val="Heading2"/>
      </w:pPr>
      <w:r>
        <w:t xml:space="preserve">Bottom line</w:t>
      </w:r>
    </w:p>
    <w:p>
      <w:pPr>
        <w:pStyle w:val="FirstParagraph"/>
      </w:pPr>
      <w:r>
        <w:t xml:space="preserve">Seagate goes into its fiscal Q4 2026 report as a consensus "Strong Buy" AI-storage beneficiary that has beaten and raised for four consecutive quarters, with management's own framing of "entering a period of structural growth" reinforced by near-fully-booked nearline capacity into 2027, an accelerating HAMR/Mozaic roadmap, record margins, and a strengthening balance sheet. The setup is a classic high-expectations, high-multiple print: guidance (</w:t>
      </w:r>
      <m:oMath>
        <m:r>
          <m:t>3.45</m:t>
        </m:r>
        <m:r>
          <m:t>B</m:t>
        </m:r>
        <m:r>
          <m:rPr>
            <m:sty m:val="p"/>
          </m:rPr>
          <m:t>/</m:t>
        </m:r>
      </m:oMath>
      <w:r>
        <w:t xml:space="preserve">5.00 EPS) has already been exceeded by consensus (</w:t>
      </w:r>
      <m:oMath>
        <m:r>
          <m:t>3.49</m:t>
        </m:r>
        <m:r>
          <m:t>B</m:t>
        </m:r>
        <m:r>
          <m:rPr>
            <m:sty m:val="p"/>
          </m:rPr>
          <m:t>/</m:t>
        </m:r>
        <m:r>
          <m:t> </m:t>
        </m:r>
      </m:oMath>
      <w:r>
        <w:t xml:space="preserve">5.08–5.10 EPS), price targets have been raised sharply into the print (up to $1,240 at Citi), and the options market is pricing a double-digit move. The key swing factors will be forward commentary on FY2027 pricing/contract lock-in, Mozaic 4/5 ramp progress, and capital return plans — any incremental positive detail here could fuel a rebound from the recent ~25% pullback, while an in-line quarter without fresh upside catalysts risks disappointing a stock priced for continued acceleration.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2026-07-28T01:15:33Z</dcterms:created>
  <dcterms:modified xsi:type="dcterms:W3CDTF">2026-07-28T01:15:33Z</dcterms:modified>
</cp:coreProperties>
</file>

<file path=docProps/custom.xml><?xml version="1.0" encoding="utf-8"?>
<Properties xmlns="http://schemas.openxmlformats.org/officeDocument/2006/custom-properties" xmlns:vt="http://schemas.openxmlformats.org/officeDocument/2006/docPropsVTypes"/>
</file>