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x-earnings-predictions--2026-07-28"/>
    <w:p>
      <w:pPr>
        <w:pStyle w:val="Heading1"/>
      </w:pPr>
      <w:r>
        <w:t xml:space="preserve">STX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~$3.57B vs. cons $3.49B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~$5.38 vs. cons $5.10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~43.0% vs. cons 42.0%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~$3.76B vs. cons $3.69B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~$5.95 vs. cons $5.71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(FADE)</w:t>
            </w:r>
          </w:p>
        </w:tc>
        <w:tc>
          <w:tcPr/>
          <w:p>
            <w:pPr>
              <w:pStyle w:val="Compact"/>
            </w:pPr>
            <w:r>
              <w:t xml:space="preserve">Initial upside from the Q4 beat and better Q1 guide fades because a ~</w:t>
            </w:r>
            <m:oMath>
              <m:r>
                <m:t>3.76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5.95 Q1 guide versus</w:t>
            </w:r>
            <w:r>
              <w:t xml:space="preserve"> </w:t>
            </w:r>
            <m:oMath>
              <m:r>
                <m:t>3.69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5.71 consensus still leaves demanding Q2-Q4 math to reach fiscal 2027 consensus of ~$16.64B revenue and $27.83 EPS.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2026-07-28T01:17:48Z</dcterms:created>
  <dcterms:modified xsi:type="dcterms:W3CDTF">2026-07-28T01:17:48Z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