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70cc16b066dc8796a6e86946c98f2f508c82ae"/>
    <w:p>
      <w:pPr>
        <w:pStyle w:val="Heading1"/>
      </w:pPr>
      <w:r>
        <w:t xml:space="preserve">Seagate Technology (STX) Fiscal Q4 2026 Earnings Preview</w:t>
      </w:r>
    </w:p>
    <w:p>
      <w:pPr>
        <w:pStyle w:val="BlockText"/>
      </w:pPr>
      <w:r>
        <w:rPr>
          <w:b/>
          <w:bCs/>
        </w:rPr>
        <w:t xml:space="preserve">Timing correction:</w:t>
      </w:r>
      <w:r>
        <w:t xml:space="preserve"> </w:t>
      </w:r>
      <w:r>
        <w:t xml:space="preserve">Seagate is scheduled to report</w:t>
      </w:r>
      <w:r>
        <w:t xml:space="preserve"> </w:t>
      </w:r>
      <w:r>
        <w:rPr>
          <w:b/>
          <w:bCs/>
        </w:rPr>
        <w:t xml:space="preserve">today, Tuesday, July 28, 2026</w:t>
      </w:r>
      <w:r>
        <w:t xml:space="preserve">, after the U.S. market closes—not tomorrow. The conference call is scheduled for</w:t>
      </w:r>
      <w:r>
        <w:t xml:space="preserve"> </w:t>
      </w:r>
      <w:r>
        <w:rPr>
          <w:b/>
          <w:bCs/>
        </w:rPr>
        <w:t xml:space="preserve">5:00 p.m. ET / 2:00 p.m. PT</w:t>
      </w:r>
      <w:r>
        <w:t xml:space="preserve">. (</w:t>
      </w:r>
      <w:hyperlink r:id="rId9">
        <w:r>
          <w:rPr>
            <w:rStyle w:val="Hyperlink"/>
          </w:rPr>
          <w:t xml:space="preserve">investors.seagate.com</w:t>
        </w:r>
      </w:hyperlink>
      <w:r>
        <w:t xml:space="preserve">)</w:t>
      </w:r>
    </w:p>
    <w:bookmarkStart w:id="10" w:name="investment-view-going-into-the-print"/>
    <w:p>
      <w:pPr>
        <w:pStyle w:val="Heading2"/>
      </w:pPr>
      <w:r>
        <w:t xml:space="preserve">Investment view going into the print</w:t>
      </w:r>
    </w:p>
    <w:p>
      <w:pPr>
        <w:pStyle w:val="FirstParagraph"/>
      </w:pPr>
      <w:r>
        <w:rPr>
          <w:b/>
          <w:bCs/>
        </w:rPr>
        <w:t xml:space="preserve">Fundamentally constructive, tactically high bar.</w:t>
      </w:r>
    </w:p>
    <w:p>
      <w:pPr>
        <w:pStyle w:val="BodyText"/>
      </w:pPr>
      <w:r>
        <w:t xml:space="preserve">Seagate enters the report with unusually strong demand visibility, rapidly expanding margins, accelerating adoption of its HAMR-based Mozaic products, and a much healthier balance sheet. The issue is not whether fiscal Q4 will be strong—it almost certainly will be—but whether results and fiscal Q1 2027 guidance are strong enough to support expectations for another year of extraordinary growth.</w:t>
      </w:r>
    </w:p>
    <w:p>
      <w:pPr>
        <w:pStyle w:val="BodyText"/>
      </w:pPr>
      <w:r>
        <w:t xml:space="preserve">Consensus is already slightly above Seagate’s Q4 guidance midpoint, while fiscal 2027 estimates assume approximately</w:t>
      </w:r>
      <w:r>
        <w:t xml:space="preserve"> </w:t>
      </w:r>
      <w:r>
        <w:rPr>
          <w:b/>
          <w:bCs/>
        </w:rPr>
        <w:t xml:space="preserve">38% revenue growth and 86% EPS growth</w:t>
      </w:r>
      <w:r>
        <w:t xml:space="preserve">. Consequently, a routine beat may not be enough. The most important information will be:</w:t>
      </w:r>
    </w:p>
    <w:p>
      <w:pPr>
        <w:pStyle w:val="Compact"/>
        <w:numPr>
          <w:ilvl w:val="0"/>
          <w:numId w:val="1001"/>
        </w:numPr>
      </w:pPr>
      <w:r>
        <w:t xml:space="preserve">Fiscal Q1 2027 guidance.</w:t>
      </w:r>
    </w:p>
    <w:p>
      <w:pPr>
        <w:pStyle w:val="Compact"/>
        <w:numPr>
          <w:ilvl w:val="0"/>
          <w:numId w:val="1001"/>
        </w:numPr>
      </w:pPr>
      <w:r>
        <w:t xml:space="preserve">Gross- and operating-margin trajectory.</w:t>
      </w:r>
    </w:p>
    <w:p>
      <w:pPr>
        <w:pStyle w:val="Compact"/>
        <w:numPr>
          <w:ilvl w:val="0"/>
          <w:numId w:val="1001"/>
        </w:numPr>
      </w:pPr>
      <w:r>
        <w:t xml:space="preserve">Mozaic 4 qualification and production progress.</w:t>
      </w:r>
    </w:p>
    <w:p>
      <w:pPr>
        <w:pStyle w:val="Compact"/>
        <w:numPr>
          <w:ilvl w:val="0"/>
          <w:numId w:val="1001"/>
        </w:numPr>
      </w:pPr>
      <w:r>
        <w:t xml:space="preserve">Pricing embedded in fiscal 2027 customer agreements.</w:t>
      </w:r>
    </w:p>
    <w:p>
      <w:pPr>
        <w:pStyle w:val="Compact"/>
        <w:numPr>
          <w:ilvl w:val="0"/>
          <w:numId w:val="1001"/>
        </w:numPr>
      </w:pPr>
      <w:r>
        <w:t xml:space="preserve">Free cash flow and capital returns.</w:t>
      </w:r>
    </w:p>
    <w:p>
      <w:r>
        <w:pict>
          <v:rect style="width:0;height:1.5pt" o:hralign="center" o:hrstd="t" o:hr="t"/>
        </w:pict>
      </w:r>
    </w:p>
    <w:bookmarkEnd w:id="10"/>
    <w:bookmarkStart w:id="12" w:name="expectations-snapshot"/>
    <w:p>
      <w:pPr>
        <w:pStyle w:val="Heading2"/>
      </w:pPr>
      <w:r>
        <w:t xml:space="preserve">Expectations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Q4 2026 expectation</w:t>
            </w:r>
          </w:p>
        </w:tc>
        <w:tc>
          <w:tcPr/>
          <w:p>
            <w:pPr>
              <w:pStyle w:val="Compact"/>
              <w:jc w:val="right"/>
            </w:pPr>
            <w:r>
              <w:t xml:space="preserve">Company guidance</w:t>
            </w:r>
          </w:p>
        </w:tc>
        <w:tc>
          <w:tcPr/>
          <w:p>
            <w:pPr>
              <w:pStyle w:val="Compact"/>
              <w:jc w:val="right"/>
            </w:pPr>
            <w:r>
              <w:t xml:space="preserve">Fiscal Q4 2025</w:t>
            </w:r>
          </w:p>
        </w:tc>
      </w:tr>
      <w:tr>
        <w:tc>
          <w:tcPr/>
          <w:p>
            <w:pPr>
              <w:pStyle w:val="Compact"/>
            </w:pPr>
            <w:r>
              <w:t xml:space="preserve">Revenue</w:t>
            </w:r>
          </w:p>
        </w:tc>
        <w:tc>
          <w:tcPr/>
          <w:p>
            <w:pPr>
              <w:pStyle w:val="Compact"/>
              <w:jc w:val="right"/>
            </w:pPr>
            <m:oMath>
              <m:r>
                <m:t>3.48</m:t>
              </m:r>
              <m:r>
                <m:rPr>
                  <m:sty m:val="p"/>
                </m:rPr>
                <m:t>–</m:t>
              </m:r>
            </m:oMath>
            <w:r>
              <w:rPr>
                <w:b/>
                <w:bCs/>
              </w:rPr>
              <w:t xml:space="preserve">3.49B</w:t>
            </w:r>
          </w:p>
        </w:tc>
        <w:tc>
          <w:tcPr/>
          <w:p>
            <w:pPr>
              <w:pStyle w:val="Compact"/>
              <w:jc w:val="right"/>
            </w:pPr>
            <w:r>
              <w:rPr>
                <w:b/>
                <w:bCs/>
              </w:rPr>
              <w:t xml:space="preserve">$3.45B ± $100M</w:t>
            </w:r>
          </w:p>
        </w:tc>
        <w:tc>
          <w:tcPr/>
          <w:p>
            <w:pPr>
              <w:pStyle w:val="Compact"/>
              <w:jc w:val="right"/>
            </w:pPr>
            <w:r>
              <w:t xml:space="preserve">$2.44B</w:t>
            </w:r>
          </w:p>
        </w:tc>
      </w:tr>
      <w:tr>
        <w:tc>
          <w:tcPr/>
          <w:p>
            <w:pPr>
              <w:pStyle w:val="Compact"/>
            </w:pPr>
            <w:r>
              <w:t xml:space="preserve">Non-GAAP EPS</w:t>
            </w:r>
          </w:p>
        </w:tc>
        <w:tc>
          <w:tcPr/>
          <w:p>
            <w:pPr>
              <w:pStyle w:val="Compact"/>
              <w:jc w:val="right"/>
            </w:pPr>
            <m:oMath>
              <m:r>
                <m:t>5.04</m:t>
              </m:r>
              <m:r>
                <m:rPr>
                  <m:sty m:val="p"/>
                </m:rPr>
                <m:t>–</m:t>
              </m:r>
            </m:oMath>
            <w:r>
              <w:rPr>
                <w:b/>
                <w:bCs/>
              </w:rPr>
              <w:t xml:space="preserve">5.10</w:t>
            </w:r>
          </w:p>
        </w:tc>
        <w:tc>
          <w:tcPr/>
          <w:p>
            <w:pPr>
              <w:pStyle w:val="Compact"/>
              <w:jc w:val="right"/>
            </w:pPr>
            <w:r>
              <w:rPr>
                <w:b/>
                <w:bCs/>
              </w:rPr>
              <w:t xml:space="preserve">$5.00 ± $0.20</w:t>
            </w:r>
          </w:p>
        </w:tc>
        <w:tc>
          <w:tcPr/>
          <w:p>
            <w:pPr>
              <w:pStyle w:val="Compact"/>
              <w:jc w:val="right"/>
            </w:pPr>
            <w:r>
              <w:t xml:space="preserve">$2.59</w:t>
            </w:r>
          </w:p>
        </w:tc>
      </w:tr>
      <w:tr>
        <w:tc>
          <w:tcPr/>
          <w:p>
            <w:pPr>
              <w:pStyle w:val="Compact"/>
            </w:pPr>
            <w:r>
              <w:t xml:space="preserve">Implied revenue growth</w:t>
            </w:r>
          </w:p>
        </w:tc>
        <w:tc>
          <w:tcPr/>
          <w:p>
            <w:pPr>
              <w:pStyle w:val="Compact"/>
              <w:jc w:val="right"/>
            </w:pPr>
            <w:r>
              <w:rPr>
                <w:b/>
                <w:bCs/>
              </w:rPr>
              <w:t xml:space="preserve">~43% YoY</w:t>
            </w:r>
          </w:p>
        </w:tc>
        <w:tc>
          <w:tcPr/>
          <w:p>
            <w:pPr>
              <w:pStyle w:val="Compact"/>
              <w:jc w:val="right"/>
            </w:pPr>
            <w:r>
              <w:t xml:space="preserve">~41% at midpoint</w:t>
            </w:r>
          </w:p>
        </w:tc>
        <w:tc>
          <w:tcPr/>
          <w:p>
            <w:pPr>
              <w:pStyle w:val="Compact"/>
              <w:jc w:val="right"/>
            </w:pPr>
            <w:r>
              <w:t xml:space="preserve">30% YoY</w:t>
            </w:r>
          </w:p>
        </w:tc>
      </w:tr>
      <w:tr>
        <w:tc>
          <w:tcPr/>
          <w:p>
            <w:pPr>
              <w:pStyle w:val="Compact"/>
            </w:pPr>
            <w:r>
              <w:t xml:space="preserve">Implied EPS growth</w:t>
            </w:r>
          </w:p>
        </w:tc>
        <w:tc>
          <w:tcPr/>
          <w:p>
            <w:pPr>
              <w:pStyle w:val="Compact"/>
              <w:jc w:val="right"/>
            </w:pPr>
            <w:r>
              <w:rPr>
                <w:b/>
                <w:bCs/>
              </w:rPr>
              <w:t xml:space="preserve">~95–97% YoY</w:t>
            </w:r>
          </w:p>
        </w:tc>
        <w:tc>
          <w:tcPr/>
          <w:p>
            <w:pPr>
              <w:pStyle w:val="Compact"/>
              <w:jc w:val="right"/>
            </w:pPr>
            <w:r>
              <w:t xml:space="preserve">~93% at midpoint</w:t>
            </w:r>
          </w:p>
        </w:tc>
        <w:tc>
          <w:tcPr/>
          <w:p>
            <w:pPr>
              <w:pStyle w:val="Compact"/>
              <w:jc w:val="right"/>
            </w:pPr>
            <w:r>
              <w:t xml:space="preserve">—</w:t>
            </w:r>
          </w:p>
        </w:tc>
      </w:tr>
    </w:tbl>
    <w:p>
      <w:pPr>
        <w:pStyle w:val="BodyText"/>
      </w:pPr>
      <w:r>
        <w:t xml:space="preserve">Current consensus is only about</w:t>
      </w:r>
      <w:r>
        <w:t xml:space="preserve"> </w:t>
      </w:r>
      <w:r>
        <w:rPr>
          <w:b/>
          <w:bCs/>
        </w:rPr>
        <w:t xml:space="preserve">1% above the revenue guide midpoint</w:t>
      </w:r>
      <w:r>
        <w:t xml:space="preserve"> </w:t>
      </w:r>
      <w:r>
        <w:t xml:space="preserve">and</w:t>
      </w:r>
      <w:r>
        <w:t xml:space="preserve"> </w:t>
      </w:r>
      <w:r>
        <w:rPr>
          <w:b/>
          <w:bCs/>
        </w:rPr>
        <w:t xml:space="preserve">2% above the EPS midpoint</w:t>
      </w:r>
      <w:r>
        <w:t xml:space="preserve">. On the surface, that looks achievable. But investors are likely measuring Seagate against its recent pattern of significant upside rather than against published consensus alone. (</w:t>
      </w:r>
      <w:hyperlink r:id="rId11">
        <w:r>
          <w:rPr>
            <w:rStyle w:val="Hyperlink"/>
          </w:rPr>
          <w:t xml:space="preserve">marketbeat.com</w:t>
        </w:r>
      </w:hyperlink>
      <w:r>
        <w:t xml:space="preserve">)</w:t>
      </w:r>
    </w:p>
    <w:p>
      <w:pPr>
        <w:pStyle w:val="BodyText"/>
      </w:pPr>
      <w:r>
        <w:t xml:space="preserve">At consensus, fiscal 2026 would finish with approximately</w:t>
      </w:r>
      <w:r>
        <w:t xml:space="preserve"> </w:t>
      </w:r>
      <m:oMath>
        <m:r>
          <m:t>12.06</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t>u</m:t>
        </m:r>
        <m:r>
          <m:t>p</m:t>
        </m:r>
        <m:r>
          <m:t>r</m:t>
        </m:r>
        <m:r>
          <m:t>o</m:t>
        </m:r>
        <m:r>
          <m:t>u</m:t>
        </m:r>
        <m:r>
          <m:t>g</m:t>
        </m:r>
        <m:r>
          <m:t>h</m:t>
        </m:r>
        <m:r>
          <m:t>l</m:t>
        </m:r>
        <m:r>
          <m:t>y</m:t>
        </m:r>
        <m:r>
          <m:rPr>
            <m:sty m:val="p"/>
          </m:rPr>
          <m:t>*</m:t>
        </m:r>
        <m:r>
          <m:rPr>
            <m:sty m:val="p"/>
          </m:rPr>
          <m:t>*</m:t>
        </m:r>
        <m:r>
          <m:t>33</m:t>
        </m:r>
      </m:oMath>
      <w:r>
        <w:rPr>
          <w:b/>
          <w:bCs/>
        </w:rPr>
        <w:t xml:space="preserve">14.9</w:t>
      </w:r>
      <w:r>
        <w:t xml:space="preserve">, up approximately</w:t>
      </w:r>
      <w:r>
        <w:t xml:space="preserve"> </w:t>
      </w:r>
      <w:r>
        <w:rPr>
          <w:b/>
          <w:bCs/>
        </w:rPr>
        <w:t xml:space="preserve">84%</w:t>
      </w:r>
      <w:r>
        <w:t xml:space="preserve"> </w:t>
      </w:r>
      <w:r>
        <w:t xml:space="preserve">from fiscal 2025.</w:t>
      </w:r>
    </w:p>
    <w:p>
      <w:r>
        <w:pict>
          <v:rect style="width:0;height:1.5pt" o:hralign="center" o:hrstd="t" o:hr="t"/>
        </w:pict>
      </w:r>
    </w:p>
    <w:bookmarkEnd w:id="12"/>
    <w:bookmarkStart w:id="14" w:name="the-setup-powerful-operating-momentum"/>
    <w:p>
      <w:pPr>
        <w:pStyle w:val="Heading2"/>
      </w:pPr>
      <w:r>
        <w:t xml:space="preserve">The setup: powerful operating momentum</w:t>
      </w:r>
    </w:p>
    <w:p>
      <w:pPr>
        <w:pStyle w:val="FirstParagraph"/>
      </w:pPr>
      <w:r>
        <w:t xml:space="preserve">Fiscal Q3 established a demanding comparison:</w:t>
      </w:r>
    </w:p>
    <w:p>
      <w:pPr>
        <w:pStyle w:val="Compact"/>
        <w:numPr>
          <w:ilvl w:val="0"/>
          <w:numId w:val="1002"/>
        </w:numPr>
      </w:pPr>
      <w:r>
        <w:t xml:space="preserve">Revenue of</w:t>
      </w:r>
      <w:r>
        <w:t xml:space="preserve"> </w:t>
      </w:r>
      <w:r>
        <w:rPr>
          <w:b/>
          <w:bCs/>
        </w:rPr>
        <w:t xml:space="preserve">$3.11 billion</w:t>
      </w:r>
      <w:r>
        <w:t xml:space="preserve">, up 44% year over year.</w:t>
      </w:r>
    </w:p>
    <w:p>
      <w:pPr>
        <w:pStyle w:val="Compact"/>
        <w:numPr>
          <w:ilvl w:val="0"/>
          <w:numId w:val="1002"/>
        </w:numPr>
      </w:pPr>
      <w:r>
        <w:t xml:space="preserve">Non-GAAP gross margin of</w:t>
      </w:r>
      <w:r>
        <w:t xml:space="preserve"> </w:t>
      </w:r>
      <w:r>
        <w:rPr>
          <w:b/>
          <w:bCs/>
        </w:rPr>
        <w:t xml:space="preserve">47.0%</w:t>
      </w:r>
      <w:r>
        <w:t xml:space="preserve">, versus 42.2% in fiscal Q2.</w:t>
      </w:r>
    </w:p>
    <w:p>
      <w:pPr>
        <w:pStyle w:val="Compact"/>
        <w:numPr>
          <w:ilvl w:val="0"/>
          <w:numId w:val="1002"/>
        </w:numPr>
      </w:pPr>
      <w:r>
        <w:t xml:space="preserve">Non-GAAP operating margin of</w:t>
      </w:r>
      <w:r>
        <w:t xml:space="preserve"> </w:t>
      </w:r>
      <w:r>
        <w:rPr>
          <w:b/>
          <w:bCs/>
        </w:rPr>
        <w:t xml:space="preserve">37.5%</w:t>
      </w:r>
      <w:r>
        <w:t xml:space="preserve">, up from 31.9%.</w:t>
      </w:r>
    </w:p>
    <w:p>
      <w:pPr>
        <w:pStyle w:val="Compact"/>
        <w:numPr>
          <w:ilvl w:val="0"/>
          <w:numId w:val="1002"/>
        </w:numPr>
      </w:pPr>
      <w:r>
        <w:t xml:space="preserve">Non-GAAP EPS of</w:t>
      </w:r>
      <w:r>
        <w:t xml:space="preserve"> </w:t>
      </w:r>
      <w:r>
        <w:rPr>
          <w:b/>
          <w:bCs/>
        </w:rPr>
        <w:t xml:space="preserve">$4.10</w:t>
      </w:r>
      <w:r>
        <w:t xml:space="preserve">, up from $3.11.</w:t>
      </w:r>
    </w:p>
    <w:p>
      <w:pPr>
        <w:pStyle w:val="Compact"/>
        <w:numPr>
          <w:ilvl w:val="0"/>
          <w:numId w:val="1002"/>
        </w:numPr>
      </w:pPr>
      <w:r>
        <w:t xml:space="preserve">Free cash flow of</w:t>
      </w:r>
      <w:r>
        <w:t xml:space="preserve"> </w:t>
      </w:r>
      <w:r>
        <w:rPr>
          <w:b/>
          <w:bCs/>
        </w:rPr>
        <w:t xml:space="preserve">$953 million</w:t>
      </w:r>
      <w:r>
        <w:t xml:space="preserve">, a 31% margin.</w:t>
      </w:r>
    </w:p>
    <w:p>
      <w:pPr>
        <w:pStyle w:val="Compact"/>
        <w:numPr>
          <w:ilvl w:val="0"/>
          <w:numId w:val="1002"/>
        </w:numPr>
      </w:pPr>
      <w:r>
        <w:t xml:space="preserve">Data-center products represented</w:t>
      </w:r>
      <w:r>
        <w:t xml:space="preserve"> </w:t>
      </w:r>
      <w:r>
        <w:rPr>
          <w:b/>
          <w:bCs/>
        </w:rPr>
        <w:t xml:space="preserve">80% of revenue</w:t>
      </w:r>
      <w:r>
        <w:t xml:space="preserve"> </w:t>
      </w:r>
      <w:r>
        <w:t xml:space="preserve">and 88% of exabyte shipments.</w:t>
      </w:r>
    </w:p>
    <w:p>
      <w:pPr>
        <w:pStyle w:val="FirstParagraph"/>
      </w:pPr>
      <w:r>
        <w:t xml:space="preserve">Seagate guided Q4 revenue up another roughly 11% sequentially and said operating margin should reach the</w:t>
      </w:r>
      <w:r>
        <w:t xml:space="preserve"> </w:t>
      </w:r>
      <w:r>
        <w:rPr>
          <w:b/>
          <w:bCs/>
        </w:rPr>
        <w:t xml:space="preserve">low-40% range</w:t>
      </w:r>
      <w:r>
        <w:t xml:space="preserve">. This means Q4 is expected to provide further evidence that pricing, product mix and operating leverage—not merely a cyclical rebound—are reshaping the earnings model. (</w:t>
      </w:r>
      <w:hyperlink r:id="rId13">
        <w:r>
          <w:rPr>
            <w:rStyle w:val="Hyperlink"/>
          </w:rPr>
          <w:t xml:space="preserve">investors.seagate.com</w:t>
        </w:r>
      </w:hyperlink>
      <w:r>
        <w:t xml:space="preserve">)</w:t>
      </w:r>
    </w:p>
    <w:p>
      <w:pPr>
        <w:pStyle w:val="BodyText"/>
      </w:pPr>
      <w:r>
        <w:t xml:space="preserve">The recent margin progression is especially important: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Fiscal quarter</w:t>
            </w:r>
          </w:p>
        </w:tc>
        <w:tc>
          <w:tcPr/>
          <w:p>
            <w:pPr>
              <w:pStyle w:val="Compact"/>
              <w:jc w:val="right"/>
            </w:pPr>
            <w:r>
              <w:t xml:space="preserve">Revenue</w:t>
            </w:r>
          </w:p>
        </w:tc>
        <w:tc>
          <w:tcPr/>
          <w:p>
            <w:pPr>
              <w:pStyle w:val="Compact"/>
              <w:jc w:val="right"/>
            </w:pPr>
            <w:r>
              <w:t xml:space="preserve">Non-GAAP gross margin</w:t>
            </w:r>
          </w:p>
        </w:tc>
        <w:tc>
          <w:tcPr/>
          <w:p>
            <w:pPr>
              <w:pStyle w:val="Compact"/>
              <w:jc w:val="right"/>
            </w:pPr>
            <w:r>
              <w:t xml:space="preserve">Non-GAAP operating margin</w:t>
            </w:r>
          </w:p>
        </w:tc>
        <w:tc>
          <w:tcPr/>
          <w:p>
            <w:pPr>
              <w:pStyle w:val="Compact"/>
              <w:jc w:val="right"/>
            </w:pPr>
            <w:r>
              <w:t xml:space="preserve">Non-GAAP EPS</w:t>
            </w:r>
          </w:p>
        </w:tc>
      </w:tr>
      <w:tr>
        <w:tc>
          <w:tcPr/>
          <w:p>
            <w:pPr>
              <w:pStyle w:val="Compact"/>
            </w:pPr>
            <w:r>
              <w:t xml:space="preserve">Q1 2026</w:t>
            </w:r>
          </w:p>
        </w:tc>
        <w:tc>
          <w:tcPr/>
          <w:p>
            <w:pPr>
              <w:pStyle w:val="Compact"/>
              <w:jc w:val="right"/>
            </w:pPr>
            <w:r>
              <w:t xml:space="preserve">$2.63B</w:t>
            </w:r>
          </w:p>
        </w:tc>
        <w:tc>
          <w:tcPr/>
          <w:p>
            <w:pPr>
              <w:pStyle w:val="Compact"/>
              <w:jc w:val="right"/>
            </w:pPr>
            <w:r>
              <w:t xml:space="preserve">40.1%</w:t>
            </w:r>
          </w:p>
        </w:tc>
        <w:tc>
          <w:tcPr/>
          <w:p>
            <w:pPr>
              <w:pStyle w:val="Compact"/>
              <w:jc w:val="right"/>
            </w:pPr>
            <w:r>
              <w:t xml:space="preserve">29.0%</w:t>
            </w:r>
          </w:p>
        </w:tc>
        <w:tc>
          <w:tcPr/>
          <w:p>
            <w:pPr>
              <w:pStyle w:val="Compact"/>
              <w:jc w:val="right"/>
            </w:pPr>
            <w:r>
              <w:t xml:space="preserve">$2.61</w:t>
            </w:r>
          </w:p>
        </w:tc>
      </w:tr>
      <w:tr>
        <w:tc>
          <w:tcPr/>
          <w:p>
            <w:pPr>
              <w:pStyle w:val="Compact"/>
            </w:pPr>
            <w:r>
              <w:t xml:space="preserve">Q2 2026</w:t>
            </w:r>
          </w:p>
        </w:tc>
        <w:tc>
          <w:tcPr/>
          <w:p>
            <w:pPr>
              <w:pStyle w:val="Compact"/>
              <w:jc w:val="right"/>
            </w:pPr>
            <w:r>
              <w:t xml:space="preserve">$2.83B</w:t>
            </w:r>
          </w:p>
        </w:tc>
        <w:tc>
          <w:tcPr/>
          <w:p>
            <w:pPr>
              <w:pStyle w:val="Compact"/>
              <w:jc w:val="right"/>
            </w:pPr>
            <w:r>
              <w:t xml:space="preserve">42.2%</w:t>
            </w:r>
          </w:p>
        </w:tc>
        <w:tc>
          <w:tcPr/>
          <w:p>
            <w:pPr>
              <w:pStyle w:val="Compact"/>
              <w:jc w:val="right"/>
            </w:pPr>
            <w:r>
              <w:t xml:space="preserve">31.9%</w:t>
            </w:r>
          </w:p>
        </w:tc>
        <w:tc>
          <w:tcPr/>
          <w:p>
            <w:pPr>
              <w:pStyle w:val="Compact"/>
              <w:jc w:val="right"/>
            </w:pPr>
            <w:r>
              <w:t xml:space="preserve">$3.11</w:t>
            </w:r>
          </w:p>
        </w:tc>
      </w:tr>
      <w:tr>
        <w:tc>
          <w:tcPr/>
          <w:p>
            <w:pPr>
              <w:pStyle w:val="Compact"/>
            </w:pPr>
            <w:r>
              <w:t xml:space="preserve">Q3 2026</w:t>
            </w:r>
          </w:p>
        </w:tc>
        <w:tc>
          <w:tcPr/>
          <w:p>
            <w:pPr>
              <w:pStyle w:val="Compact"/>
              <w:jc w:val="right"/>
            </w:pPr>
            <w:r>
              <w:t xml:space="preserve">$3.11B</w:t>
            </w:r>
          </w:p>
        </w:tc>
        <w:tc>
          <w:tcPr/>
          <w:p>
            <w:pPr>
              <w:pStyle w:val="Compact"/>
              <w:jc w:val="right"/>
            </w:pPr>
            <w:r>
              <w:t xml:space="preserve">47.0%</w:t>
            </w:r>
          </w:p>
        </w:tc>
        <w:tc>
          <w:tcPr/>
          <w:p>
            <w:pPr>
              <w:pStyle w:val="Compact"/>
              <w:jc w:val="right"/>
            </w:pPr>
            <w:r>
              <w:t xml:space="preserve">37.5%</w:t>
            </w:r>
          </w:p>
        </w:tc>
        <w:tc>
          <w:tcPr/>
          <w:p>
            <w:pPr>
              <w:pStyle w:val="Compact"/>
              <w:jc w:val="right"/>
            </w:pPr>
            <w:r>
              <w:t xml:space="preserve">$4.10</w:t>
            </w:r>
          </w:p>
        </w:tc>
      </w:tr>
      <w:tr>
        <w:tc>
          <w:tcPr/>
          <w:p>
            <w:pPr>
              <w:pStyle w:val="Compact"/>
            </w:pPr>
            <w:r>
              <w:t xml:space="preserve">Q4 consensus</w:t>
            </w:r>
          </w:p>
        </w:tc>
        <w:tc>
          <w:tcPr/>
          <w:p>
            <w:pPr>
              <w:pStyle w:val="Compact"/>
              <w:jc w:val="right"/>
            </w:pPr>
            <w:r>
              <w:t xml:space="preserve">~$3.49B</w:t>
            </w:r>
          </w:p>
        </w:tc>
        <w:tc>
          <w:tcPr/>
          <w:p>
            <w:pPr>
              <w:pStyle w:val="Compact"/>
              <w:jc w:val="right"/>
            </w:pPr>
            <w:r>
              <w:t xml:space="preserve">—</w:t>
            </w:r>
          </w:p>
        </w:tc>
        <w:tc>
          <w:tcPr/>
          <w:p>
            <w:pPr>
              <w:pStyle w:val="Compact"/>
              <w:jc w:val="right"/>
            </w:pPr>
            <w:r>
              <w:t xml:space="preserve">Low 40%s guided</w:t>
            </w:r>
          </w:p>
        </w:tc>
        <w:tc>
          <w:tcPr/>
          <w:p>
            <w:pPr>
              <w:pStyle w:val="Compact"/>
              <w:jc w:val="right"/>
            </w:pPr>
            <w:r>
              <w:t xml:space="preserve">~$5.10</w:t>
            </w:r>
          </w:p>
        </w:tc>
      </w:tr>
    </w:tbl>
    <w:p>
      <w:pPr>
        <w:pStyle w:val="BodyText"/>
      </w:pPr>
      <w:r>
        <w:t xml:space="preserve">The central earnings question is whether this margin expansion remains durable as Seagate moves into fiscal 2027.</w:t>
      </w:r>
    </w:p>
    <w:p>
      <w:r>
        <w:pict>
          <v:rect style="width:0;height:1.5pt" o:hralign="center" o:hrstd="t" o:hr="t"/>
        </w:pict>
      </w:r>
    </w:p>
    <w:bookmarkEnd w:id="14"/>
    <w:bookmarkStart w:id="23" w:name="what-matters-most"/>
    <w:p>
      <w:pPr>
        <w:pStyle w:val="Heading2"/>
      </w:pPr>
      <w:r>
        <w:t xml:space="preserve">What matters most</w:t>
      </w:r>
    </w:p>
    <w:bookmarkStart w:id="16" w:name="X01976ce81dd97290d45320b8d72e510a7e60b65"/>
    <w:p>
      <w:pPr>
        <w:pStyle w:val="Heading3"/>
      </w:pPr>
      <w:r>
        <w:t xml:space="preserve">1. Fiscal Q1 2027 guidance will probably determine the reaction</w:t>
      </w:r>
    </w:p>
    <w:p>
      <w:pPr>
        <w:pStyle w:val="FirstParagraph"/>
      </w:pPr>
      <w:r>
        <w:t xml:space="preserve">Wall Street currently expects approximately:</w:t>
      </w:r>
    </w:p>
    <w:p>
      <w:pPr>
        <w:pStyle w:val="Compact"/>
        <w:numPr>
          <w:ilvl w:val="0"/>
          <w:numId w:val="1003"/>
        </w:numPr>
      </w:pPr>
      <w:r>
        <w:rPr>
          <w:b/>
          <w:bCs/>
        </w:rPr>
        <w:t xml:space="preserve">$3.69 billion of revenue</w:t>
      </w:r>
    </w:p>
    <w:p>
      <w:pPr>
        <w:pStyle w:val="Compact"/>
        <w:numPr>
          <w:ilvl w:val="0"/>
          <w:numId w:val="1003"/>
        </w:numPr>
      </w:pPr>
      <w:r>
        <w:rPr>
          <w:b/>
          <w:bCs/>
        </w:rPr>
        <w:t xml:space="preserve">$5.71 of non-GAAP EPS</w:t>
      </w:r>
    </w:p>
    <w:p>
      <w:pPr>
        <w:pStyle w:val="FirstParagraph"/>
      </w:pPr>
      <w:r>
        <w:t xml:space="preserve">That implies roughly 6% sequential revenue growth and continued earnings expansion after an exceptionally strong June quarter. Full-year fiscal 2027 consensus stands near</w:t>
      </w:r>
      <w:r>
        <w:t xml:space="preserve"> </w:t>
      </w:r>
      <w:r>
        <w:rPr>
          <w:b/>
          <w:bCs/>
        </w:rPr>
        <w:t xml:space="preserve">$16.64 billion of revenue and $27.83 of EPS</w:t>
      </w:r>
      <w:r>
        <w:t xml:space="preserve">, representing growth of about 38% and 86%, respectively. (</w:t>
      </w:r>
      <w:hyperlink r:id="rId15">
        <w:r>
          <w:rPr>
            <w:rStyle w:val="Hyperlink"/>
          </w:rPr>
          <w:t xml:space="preserve">stage.zacks.com</w:t>
        </w:r>
      </w:hyperlink>
      <w:r>
        <w:t xml:space="preserve">)</w:t>
      </w:r>
    </w:p>
    <w:p>
      <w:pPr>
        <w:pStyle w:val="BodyText"/>
      </w:pPr>
      <w:r>
        <w:t xml:space="preserve">Management previously said it expected quarterly revenue and profitability to improve sequentially through fiscal 2027. Therefore:</w:t>
      </w:r>
    </w:p>
    <w:p>
      <w:pPr>
        <w:pStyle w:val="Compact"/>
        <w:numPr>
          <w:ilvl w:val="0"/>
          <w:numId w:val="1004"/>
        </w:numPr>
      </w:pPr>
      <w:r>
        <w:rPr>
          <w:b/>
          <w:bCs/>
        </w:rPr>
        <w:t xml:space="preserve">Guidance comfortably above $3.7 billion and $5.7</w:t>
      </w:r>
      <w:r>
        <w:t xml:space="preserve"> </w:t>
      </w:r>
      <w:r>
        <w:t xml:space="preserve">would reinforce the structural-growth thesis.</w:t>
      </w:r>
    </w:p>
    <w:p>
      <w:pPr>
        <w:pStyle w:val="Compact"/>
        <w:numPr>
          <w:ilvl w:val="0"/>
          <w:numId w:val="1004"/>
        </w:numPr>
      </w:pPr>
      <w:r>
        <w:t xml:space="preserve">Guidance around those figures would be fundamentally solid, but could produce a mixed stock response.</w:t>
      </w:r>
    </w:p>
    <w:p>
      <w:pPr>
        <w:pStyle w:val="Compact"/>
        <w:numPr>
          <w:ilvl w:val="0"/>
          <w:numId w:val="1004"/>
        </w:numPr>
      </w:pPr>
      <w:r>
        <w:t xml:space="preserve">A weak sequential-growth outlook would challenge one of the market’s core assumptions.</w:t>
      </w:r>
    </w:p>
    <w:p>
      <w:pPr>
        <w:pStyle w:val="FirstParagraph"/>
      </w:pPr>
      <w:r>
        <w:t xml:space="preserve">Investors should also listen for whether management repeats its confidence in sequential growth throughout fiscal 2027 or adds new qualifications.</w:t>
      </w:r>
    </w:p>
    <w:bookmarkEnd w:id="16"/>
    <w:bookmarkStart w:id="17" w:name="X48c6d68035fe2ddb07027dfdfc7b0e0d7f5b08e"/>
    <w:p>
      <w:pPr>
        <w:pStyle w:val="Heading3"/>
      </w:pPr>
      <w:r>
        <w:t xml:space="preserve">2. The margin story has to remain exceptional</w:t>
      </w:r>
    </w:p>
    <w:p>
      <w:pPr>
        <w:pStyle w:val="FirstParagraph"/>
      </w:pPr>
      <w:r>
        <w:t xml:space="preserve">Q3’s 47% non-GAAP gross margin was already a company record. Q4 operating-margin guidance in the low 40s implies substantial additional leverage with operating expenses expected to remain around $295 million.</w:t>
      </w:r>
    </w:p>
    <w:p>
      <w:pPr>
        <w:pStyle w:val="BodyText"/>
      </w:pPr>
      <w:r>
        <w:t xml:space="preserve">The key drivers are:</w:t>
      </w:r>
    </w:p>
    <w:p>
      <w:pPr>
        <w:pStyle w:val="Compact"/>
        <w:numPr>
          <w:ilvl w:val="0"/>
          <w:numId w:val="1005"/>
        </w:numPr>
      </w:pPr>
      <w:r>
        <w:t xml:space="preserve">Value-based pricing.</w:t>
      </w:r>
    </w:p>
    <w:p>
      <w:pPr>
        <w:pStyle w:val="Compact"/>
        <w:numPr>
          <w:ilvl w:val="0"/>
          <w:numId w:val="1005"/>
        </w:numPr>
      </w:pPr>
      <w:r>
        <w:t xml:space="preserve">Higher-capacity product mix.</w:t>
      </w:r>
    </w:p>
    <w:p>
      <w:pPr>
        <w:pStyle w:val="Compact"/>
        <w:numPr>
          <w:ilvl w:val="0"/>
          <w:numId w:val="1005"/>
        </w:numPr>
      </w:pPr>
      <w:r>
        <w:t xml:space="preserve">Greater HAMR penetration.</w:t>
      </w:r>
    </w:p>
    <w:p>
      <w:pPr>
        <w:pStyle w:val="Compact"/>
        <w:numPr>
          <w:ilvl w:val="0"/>
          <w:numId w:val="1005"/>
        </w:numPr>
      </w:pPr>
      <w:r>
        <w:t xml:space="preserve">More terabytes per drive with limited incremental bill-of-materials cost.</w:t>
      </w:r>
    </w:p>
    <w:p>
      <w:pPr>
        <w:pStyle w:val="Compact"/>
        <w:numPr>
          <w:ilvl w:val="0"/>
          <w:numId w:val="1005"/>
        </w:numPr>
      </w:pPr>
      <w:r>
        <w:t xml:space="preserve">High manufacturing utilization.</w:t>
      </w:r>
    </w:p>
    <w:p>
      <w:pPr>
        <w:pStyle w:val="Compact"/>
        <w:numPr>
          <w:ilvl w:val="0"/>
          <w:numId w:val="1005"/>
        </w:numPr>
      </w:pPr>
      <w:r>
        <w:t xml:space="preserve">Relatively flat operating expenses in dollar terms.</w:t>
      </w:r>
    </w:p>
    <w:p>
      <w:pPr>
        <w:pStyle w:val="FirstParagraph"/>
      </w:pPr>
      <w:r>
        <w:t xml:space="preserve">The bullish outcome would be Q4 operating margin at or above the stronger end of the low-40% range, followed by guidance for additional expansion. A result driven mainly by temporary pricing—with less evidence of HAMR cost benefits—would be lower quality.</w:t>
      </w:r>
    </w:p>
    <w:bookmarkEnd w:id="17"/>
    <w:bookmarkStart w:id="19" w:name="Xd8138af9442417f77d659cc9317410e379a2f6e"/>
    <w:p>
      <w:pPr>
        <w:pStyle w:val="Heading3"/>
      </w:pPr>
      <w:r>
        <w:t xml:space="preserve">3. Mozaic 4 execution is the main product catalyst</w:t>
      </w:r>
    </w:p>
    <w:p>
      <w:pPr>
        <w:pStyle w:val="FirstParagraph"/>
      </w:pPr>
      <w:r>
        <w:t xml:space="preserve">Mozaic 4 supports capacities of up to 44TB and had reached production qualification with two hyperscale cloud customers by March. Seagate began revenue shipments in late March and expected Mozaic 4 to become the majority of its HAMR exabyte shipments exiting calendar 2026. (</w:t>
      </w:r>
      <w:hyperlink r:id="rId18">
        <w:r>
          <w:rPr>
            <w:rStyle w:val="Hyperlink"/>
          </w:rPr>
          <w:t xml:space="preserve">investors.seagate.com</w:t>
        </w:r>
      </w:hyperlink>
      <w:r>
        <w:t xml:space="preserve">)</w:t>
      </w:r>
    </w:p>
    <w:p>
      <w:pPr>
        <w:pStyle w:val="BodyText"/>
      </w:pPr>
      <w:r>
        <w:t xml:space="preserve">Important updates include:</w:t>
      </w:r>
    </w:p>
    <w:p>
      <w:pPr>
        <w:pStyle w:val="Compact"/>
        <w:numPr>
          <w:ilvl w:val="0"/>
          <w:numId w:val="1006"/>
        </w:numPr>
      </w:pPr>
      <w:r>
        <w:t xml:space="preserve">Completion of the remaining major cloud-customer qualifications.</w:t>
      </w:r>
    </w:p>
    <w:p>
      <w:pPr>
        <w:pStyle w:val="Compact"/>
        <w:numPr>
          <w:ilvl w:val="0"/>
          <w:numId w:val="1006"/>
        </w:numPr>
      </w:pPr>
      <w:r>
        <w:t xml:space="preserve">Yield and production-ramp progress.</w:t>
      </w:r>
    </w:p>
    <w:p>
      <w:pPr>
        <w:pStyle w:val="Compact"/>
        <w:numPr>
          <w:ilvl w:val="0"/>
          <w:numId w:val="1006"/>
        </w:numPr>
      </w:pPr>
      <w:r>
        <w:t xml:space="preserve">Whether Mozaic 4 is still on track to surpass first-generation Mozaic shipments by year-end.</w:t>
      </w:r>
    </w:p>
    <w:p>
      <w:pPr>
        <w:pStyle w:val="Compact"/>
        <w:numPr>
          <w:ilvl w:val="0"/>
          <w:numId w:val="1006"/>
        </w:numPr>
      </w:pPr>
      <w:r>
        <w:t xml:space="preserve">Progress toward the target of roughly 70% of nearline exabytes being HAMR-based by the end of fiscal 2027.</w:t>
      </w:r>
    </w:p>
    <w:p>
      <w:pPr>
        <w:pStyle w:val="Compact"/>
        <w:numPr>
          <w:ilvl w:val="0"/>
          <w:numId w:val="1006"/>
        </w:numPr>
      </w:pPr>
      <w:r>
        <w:t xml:space="preserve">Any change to Mozaic 5’s planned late-calendar-2027 qualification shipments at 50TB.</w:t>
      </w:r>
    </w:p>
    <w:p>
      <w:pPr>
        <w:pStyle w:val="FirstParagraph"/>
      </w:pPr>
      <w:r>
        <w:t xml:space="preserve">HAMR is not merely a product-cycle detail. It is central to Seagate’s ability to expand exabyte output without materially increasing unit volume or manufacturing capital intensity.</w:t>
      </w:r>
    </w:p>
    <w:bookmarkEnd w:id="19"/>
    <w:bookmarkStart w:id="21" w:name="X927b840678ee6bfeefbd60a725c720061b0be53"/>
    <w:p>
      <w:pPr>
        <w:pStyle w:val="Heading3"/>
      </w:pPr>
      <w:r>
        <w:t xml:space="preserve">4. Demand visibility is excellent—but investors need confirmation</w:t>
      </w:r>
    </w:p>
    <w:p>
      <w:pPr>
        <w:pStyle w:val="FirstParagraph"/>
      </w:pPr>
      <w:r>
        <w:t xml:space="preserve">On the prior call, Seagate said nearline capacity was almost fully allocated through calendar 2027, fiscal 2027 build-to-order agreements had largely been finalized, and customer planning discussions were extending into 2028. (</w:t>
      </w:r>
      <w:hyperlink r:id="rId20">
        <w:r>
          <w:rPr>
            <w:rStyle w:val="Hyperlink"/>
          </w:rPr>
          <w:t xml:space="preserve">s24.q4cdn.com</w:t>
        </w:r>
      </w:hyperlink>
      <w:r>
        <w:t xml:space="preserve">)</w:t>
      </w:r>
    </w:p>
    <w:p>
      <w:pPr>
        <w:pStyle w:val="BodyText"/>
      </w:pPr>
      <w:r>
        <w:t xml:space="preserve">That creates three questions:</w:t>
      </w:r>
    </w:p>
    <w:p>
      <w:pPr>
        <w:pStyle w:val="Compact"/>
        <w:numPr>
          <w:ilvl w:val="0"/>
          <w:numId w:val="1007"/>
        </w:numPr>
      </w:pPr>
      <w:r>
        <w:t xml:space="preserve">Has demand strengthened further since April?</w:t>
      </w:r>
    </w:p>
    <w:p>
      <w:pPr>
        <w:pStyle w:val="Compact"/>
        <w:numPr>
          <w:ilvl w:val="0"/>
          <w:numId w:val="1007"/>
        </w:numPr>
      </w:pPr>
      <w:r>
        <w:t xml:space="preserve">Are customers attempting to lock in more capacity for 2028?</w:t>
      </w:r>
    </w:p>
    <w:p>
      <w:pPr>
        <w:pStyle w:val="Compact"/>
        <w:numPr>
          <w:ilvl w:val="0"/>
          <w:numId w:val="1007"/>
        </w:numPr>
      </w:pPr>
      <w:r>
        <w:t xml:space="preserve">Are fiscal 2027 contract prices still improving year over year?</w:t>
      </w:r>
    </w:p>
    <w:p>
      <w:pPr>
        <w:pStyle w:val="FirstParagraph"/>
      </w:pPr>
      <w:r>
        <w:t xml:space="preserve">Positive commentary would support the idea that industry discipline and AI-related storage demand can sustain elevated pricing. Any indication of order pushouts, configuration changes or weaker hyperscaler commitments would matter more than normal quarterly shipment variability.</w:t>
      </w:r>
    </w:p>
    <w:bookmarkEnd w:id="21"/>
    <w:bookmarkStart w:id="22" w:name="X62295fbb3b4c0ef975965bb78569dce3f47e953"/>
    <w:p>
      <w:pPr>
        <w:pStyle w:val="Heading3"/>
      </w:pPr>
      <w:r>
        <w:t xml:space="preserve">5. Free cash flow and capital allocation</w:t>
      </w:r>
    </w:p>
    <w:p>
      <w:pPr>
        <w:pStyle w:val="FirstParagraph"/>
      </w:pPr>
      <w:r>
        <w:t xml:space="preserve">Seagate generated almost $1 billion of free cash flow in Q3, reduced gross debt by $641 million, and ended the quarter with gross debt around $3.9 billion. It subsequently called the remaining approximately $151 million of its 2028 exchangeable notes for redemption or exchange.</w:t>
      </w:r>
    </w:p>
    <w:p>
      <w:pPr>
        <w:pStyle w:val="BodyText"/>
      </w:pPr>
      <w:r>
        <w:t xml:space="preserve">With leverage falling, management previously indicated that capital allocation should begin shifting from debt reduction toward larger share repurchases. Investors should watch:</w:t>
      </w:r>
    </w:p>
    <w:p>
      <w:pPr>
        <w:pStyle w:val="Compact"/>
        <w:numPr>
          <w:ilvl w:val="0"/>
          <w:numId w:val="1008"/>
        </w:numPr>
      </w:pPr>
      <w:r>
        <w:t xml:space="preserve">Q4 free cash flow relative to Q3’s $953 million.</w:t>
      </w:r>
    </w:p>
    <w:p>
      <w:pPr>
        <w:pStyle w:val="Compact"/>
        <w:numPr>
          <w:ilvl w:val="0"/>
          <w:numId w:val="1008"/>
        </w:numPr>
      </w:pPr>
      <w:r>
        <w:t xml:space="preserve">Working-capital requirements during the Mozaic ramp.</w:t>
      </w:r>
    </w:p>
    <w:p>
      <w:pPr>
        <w:pStyle w:val="Compact"/>
        <w:numPr>
          <w:ilvl w:val="0"/>
          <w:numId w:val="1008"/>
        </w:numPr>
      </w:pPr>
      <w:r>
        <w:t xml:space="preserve">The pace of share repurchases.</w:t>
      </w:r>
    </w:p>
    <w:p>
      <w:pPr>
        <w:pStyle w:val="Compact"/>
        <w:numPr>
          <w:ilvl w:val="0"/>
          <w:numId w:val="1008"/>
        </w:numPr>
      </w:pPr>
      <w:r>
        <w:t xml:space="preserve">Diluted share-count guidance after the note redemption.</w:t>
      </w:r>
    </w:p>
    <w:p>
      <w:pPr>
        <w:pStyle w:val="Compact"/>
        <w:numPr>
          <w:ilvl w:val="0"/>
          <w:numId w:val="1008"/>
        </w:numPr>
      </w:pPr>
      <w:r>
        <w:t xml:space="preserve">Whether the dividend is increased again.</w:t>
      </w:r>
    </w:p>
    <w:p>
      <w:pPr>
        <w:pStyle w:val="FirstParagraph"/>
      </w:pPr>
      <w:r>
        <w:t xml:space="preserve">Strong cash flow accompanied by meaningful buybacks would improve the quality of fiscal 2027 EPS growth.</w:t>
      </w:r>
    </w:p>
    <w:p>
      <w:r>
        <w:pict>
          <v:rect style="width:0;height:1.5pt" o:hralign="center" o:hrstd="t" o:hr="t"/>
        </w:pict>
      </w:r>
    </w:p>
    <w:bookmarkEnd w:id="22"/>
    <w:bookmarkEnd w:id="23"/>
    <w:bookmarkStart w:id="24" w:name="potential-upside-catalysts"/>
    <w:p>
      <w:pPr>
        <w:pStyle w:val="Heading2"/>
      </w:pPr>
      <w:r>
        <w:t xml:space="preserve">Potential upside catalysts</w:t>
      </w:r>
    </w:p>
    <w:p>
      <w:pPr>
        <w:pStyle w:val="Compact"/>
        <w:numPr>
          <w:ilvl w:val="0"/>
          <w:numId w:val="1009"/>
        </w:numPr>
      </w:pPr>
      <w:r>
        <w:t xml:space="preserve">Revenue above the</w:t>
      </w:r>
      <w:r>
        <w:t xml:space="preserve"> </w:t>
      </w:r>
      <w:r>
        <w:rPr>
          <w:b/>
          <w:bCs/>
        </w:rPr>
        <w:t xml:space="preserve">$3.55 billion</w:t>
      </w:r>
      <w:r>
        <w:t xml:space="preserve"> </w:t>
      </w:r>
      <w:r>
        <w:t xml:space="preserve">high end of guidance.</w:t>
      </w:r>
    </w:p>
    <w:p>
      <w:pPr>
        <w:pStyle w:val="Compact"/>
        <w:numPr>
          <w:ilvl w:val="0"/>
          <w:numId w:val="1009"/>
        </w:numPr>
      </w:pPr>
      <w:r>
        <w:t xml:space="preserve">EPS above</w:t>
      </w:r>
      <w:r>
        <w:t xml:space="preserve"> </w:t>
      </w:r>
      <w:r>
        <w:rPr>
          <w:b/>
          <w:bCs/>
        </w:rPr>
        <w:t xml:space="preserve">$5.20</w:t>
      </w:r>
      <w:r>
        <w:t xml:space="preserve">.</w:t>
      </w:r>
    </w:p>
    <w:p>
      <w:pPr>
        <w:pStyle w:val="Compact"/>
        <w:numPr>
          <w:ilvl w:val="0"/>
          <w:numId w:val="1009"/>
        </w:numPr>
      </w:pPr>
      <w:r>
        <w:t xml:space="preserve">Operating margin above the implied low-40% range.</w:t>
      </w:r>
    </w:p>
    <w:p>
      <w:pPr>
        <w:pStyle w:val="Compact"/>
        <w:numPr>
          <w:ilvl w:val="0"/>
          <w:numId w:val="1009"/>
        </w:numPr>
      </w:pPr>
      <w:r>
        <w:t xml:space="preserve">Fiscal Q1 guidance above approximately</w:t>
      </w:r>
      <w:r>
        <w:t xml:space="preserve"> </w:t>
      </w:r>
      <m:oMath>
        <m:r>
          <m:t>3.7</m:t>
        </m:r>
        <m:r>
          <m:t>b</m:t>
        </m:r>
        <m:r>
          <m:t>i</m:t>
        </m:r>
        <m:r>
          <m:t>l</m:t>
        </m:r>
        <m:r>
          <m:t>l</m:t>
        </m:r>
        <m:r>
          <m:t>i</m:t>
        </m:r>
        <m:r>
          <m:t>o</m:t>
        </m:r>
        <m:r>
          <m:t>n</m:t>
        </m:r>
        <m:r>
          <m:rPr>
            <m:sty m:val="p"/>
          </m:rPr>
          <m:t>/</m:t>
        </m:r>
      </m:oMath>
      <w:r>
        <w:rPr>
          <w:b/>
          <w:bCs/>
        </w:rPr>
        <w:t xml:space="preserve">5.7</w:t>
      </w:r>
      <w:r>
        <w:t xml:space="preserve">.</w:t>
      </w:r>
    </w:p>
    <w:p>
      <w:pPr>
        <w:pStyle w:val="Compact"/>
        <w:numPr>
          <w:ilvl w:val="0"/>
          <w:numId w:val="1009"/>
        </w:numPr>
      </w:pPr>
      <w:r>
        <w:t xml:space="preserve">Confirmation that quarterly revenue and profit can rise throughout fiscal 2027.</w:t>
      </w:r>
    </w:p>
    <w:p>
      <w:pPr>
        <w:pStyle w:val="Compact"/>
        <w:numPr>
          <w:ilvl w:val="0"/>
          <w:numId w:val="1009"/>
        </w:numPr>
      </w:pPr>
      <w:r>
        <w:t xml:space="preserve">Completion of all major Mozaic 4 qualifications.</w:t>
      </w:r>
    </w:p>
    <w:p>
      <w:pPr>
        <w:pStyle w:val="Compact"/>
        <w:numPr>
          <w:ilvl w:val="0"/>
          <w:numId w:val="1009"/>
        </w:numPr>
      </w:pPr>
      <w:r>
        <w:t xml:space="preserve">Higher fiscal 2027 pricing or stronger 2028 order visibility.</w:t>
      </w:r>
    </w:p>
    <w:p>
      <w:pPr>
        <w:pStyle w:val="Compact"/>
        <w:numPr>
          <w:ilvl w:val="0"/>
          <w:numId w:val="1009"/>
        </w:numPr>
      </w:pPr>
      <w:r>
        <w:t xml:space="preserve">Free cash flow near or above Q3’s level, paired with accelerated buybacks.</w:t>
      </w:r>
    </w:p>
    <w:bookmarkEnd w:id="24"/>
    <w:bookmarkStart w:id="25" w:name="key-risks"/>
    <w:p>
      <w:pPr>
        <w:pStyle w:val="Heading2"/>
      </w:pPr>
      <w:r>
        <w:t xml:space="preserve">Key risks</w:t>
      </w:r>
    </w:p>
    <w:p>
      <w:pPr>
        <w:pStyle w:val="Compact"/>
        <w:numPr>
          <w:ilvl w:val="0"/>
          <w:numId w:val="1010"/>
        </w:numPr>
      </w:pPr>
      <w:r>
        <w:rPr>
          <w:b/>
          <w:bCs/>
        </w:rPr>
        <w:t xml:space="preserve">Expectations risk:</w:t>
      </w:r>
      <w:r>
        <w:t xml:space="preserve"> </w:t>
      </w:r>
      <w:r>
        <w:t xml:space="preserve">Fiscal 2027 consensus already assumes another year of exceptional growth.</w:t>
      </w:r>
    </w:p>
    <w:p>
      <w:pPr>
        <w:pStyle w:val="Compact"/>
        <w:numPr>
          <w:ilvl w:val="0"/>
          <w:numId w:val="1010"/>
        </w:numPr>
      </w:pPr>
      <w:r>
        <w:rPr>
          <w:b/>
          <w:bCs/>
        </w:rPr>
        <w:t xml:space="preserve">Margin normalization:</w:t>
      </w:r>
      <w:r>
        <w:t xml:space="preserve"> </w:t>
      </w:r>
      <w:r>
        <w:t xml:space="preserve">Q3’s 47% gross margin and Q4’s expected 40%+ operating margin leave little room for execution errors.</w:t>
      </w:r>
    </w:p>
    <w:p>
      <w:pPr>
        <w:pStyle w:val="Compact"/>
        <w:numPr>
          <w:ilvl w:val="0"/>
          <w:numId w:val="1010"/>
        </w:numPr>
      </w:pPr>
      <w:r>
        <w:rPr>
          <w:b/>
          <w:bCs/>
        </w:rPr>
        <w:t xml:space="preserve">Customer concentration:</w:t>
      </w:r>
      <w:r>
        <w:t xml:space="preserve"> </w:t>
      </w:r>
      <w:r>
        <w:t xml:space="preserve">Cloud and hyperscale demand now drives the overwhelming majority of capacity shipments.</w:t>
      </w:r>
    </w:p>
    <w:p>
      <w:pPr>
        <w:pStyle w:val="Compact"/>
        <w:numPr>
          <w:ilvl w:val="0"/>
          <w:numId w:val="1010"/>
        </w:numPr>
      </w:pPr>
      <w:r>
        <w:rPr>
          <w:b/>
          <w:bCs/>
        </w:rPr>
        <w:t xml:space="preserve">HAMR execution:</w:t>
      </w:r>
      <w:r>
        <w:t xml:space="preserve"> </w:t>
      </w:r>
      <w:r>
        <w:t xml:space="preserve">Yield, qualification or ramp delays would constrain exabyte growth and cost reductions.</w:t>
      </w:r>
    </w:p>
    <w:p>
      <w:pPr>
        <w:pStyle w:val="Compact"/>
        <w:numPr>
          <w:ilvl w:val="0"/>
          <w:numId w:val="1010"/>
        </w:numPr>
      </w:pPr>
      <w:r>
        <w:rPr>
          <w:b/>
          <w:bCs/>
        </w:rPr>
        <w:t xml:space="preserve">Supply limitations:</w:t>
      </w:r>
      <w:r>
        <w:t xml:space="preserve"> </w:t>
      </w:r>
      <w:r>
        <w:t xml:space="preserve">Management is relying primarily on areal-density improvements rather than significant unit-capacity additions.</w:t>
      </w:r>
    </w:p>
    <w:p>
      <w:pPr>
        <w:pStyle w:val="Compact"/>
        <w:numPr>
          <w:ilvl w:val="0"/>
          <w:numId w:val="1010"/>
        </w:numPr>
      </w:pPr>
      <w:r>
        <w:rPr>
          <w:b/>
          <w:bCs/>
        </w:rPr>
        <w:t xml:space="preserve">Pricing durability:</w:t>
      </w:r>
      <w:r>
        <w:t xml:space="preserve"> </w:t>
      </w:r>
      <w:r>
        <w:t xml:space="preserve">Long-term agreements improve visibility but may limit immediate participation if spot economics strengthen further.</w:t>
      </w:r>
    </w:p>
    <w:p>
      <w:pPr>
        <w:pStyle w:val="Compact"/>
        <w:numPr>
          <w:ilvl w:val="0"/>
          <w:numId w:val="1010"/>
        </w:numPr>
      </w:pPr>
      <w:r>
        <w:rPr>
          <w:b/>
          <w:bCs/>
        </w:rPr>
        <w:t xml:space="preserve">Share-count dilution:</w:t>
      </w:r>
      <w:r>
        <w:t xml:space="preserve"> </w:t>
      </w:r>
      <w:r>
        <w:t xml:space="preserve">Convertible-note treatment has affected reported diluted shares, although redemption and capped-call arrangements should reduce the longer-term impact.</w:t>
      </w:r>
    </w:p>
    <w:p>
      <w:pPr>
        <w:pStyle w:val="Compact"/>
        <w:numPr>
          <w:ilvl w:val="0"/>
          <w:numId w:val="1010"/>
        </w:numPr>
      </w:pPr>
      <w:r>
        <w:rPr>
          <w:b/>
          <w:bCs/>
        </w:rPr>
        <w:t xml:space="preserve">Trade and logistics:</w:t>
      </w:r>
      <w:r>
        <w:t xml:space="preserve"> </w:t>
      </w:r>
      <w:r>
        <w:t xml:space="preserve">Tariffs and geopolitical disruption were assumed to have minimal impact in prior guidance; any change would be notable.</w:t>
      </w:r>
    </w:p>
    <w:p>
      <w:r>
        <w:pict>
          <v:rect style="width:0;height:1.5pt" o:hralign="center" o:hrstd="t" o:hr="t"/>
        </w:pict>
      </w:r>
    </w:p>
    <w:bookmarkEnd w:id="25"/>
    <w:bookmarkStart w:id="26"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Outcome</w:t>
            </w:r>
          </w:p>
        </w:tc>
        <w:tc>
          <w:tcPr/>
          <w:p>
            <w:pPr>
              <w:pStyle w:val="Compact"/>
            </w:pPr>
            <w:r>
              <w:t xml:space="preserve">What it might look like</w:t>
            </w:r>
          </w:p>
        </w:tc>
        <w:tc>
          <w:tcPr/>
          <w:p>
            <w:pPr>
              <w:pStyle w:val="Compact"/>
            </w:pPr>
            <w:r>
              <w:t xml:space="preserve">Likely interpretation</w:t>
            </w:r>
          </w:p>
        </w:tc>
      </w:tr>
      <w:tr>
        <w:tc>
          <w:tcPr/>
          <w:p>
            <w:pPr>
              <w:pStyle w:val="Compact"/>
            </w:pPr>
            <w:r>
              <w:rPr>
                <w:b/>
                <w:bCs/>
              </w:rPr>
              <w:t xml:space="preserve">Bull case</w:t>
            </w:r>
          </w:p>
        </w:tc>
        <w:tc>
          <w:tcPr/>
          <w:p>
            <w:pPr>
              <w:pStyle w:val="Compact"/>
            </w:pPr>
            <w:r>
              <w:t xml:space="preserve">Q4 above guidance high ends; operating margin ≥ low-40s expectation; Q1 guide above consensus; strong HAMR and pricing commentary</w:t>
            </w:r>
          </w:p>
        </w:tc>
        <w:tc>
          <w:tcPr/>
          <w:p>
            <w:pPr>
              <w:pStyle w:val="Compact"/>
            </w:pPr>
            <w:r>
              <w:t xml:space="preserve">Structural-growth thesis strengthened</w:t>
            </w:r>
          </w:p>
        </w:tc>
      </w:tr>
      <w:tr>
        <w:tc>
          <w:tcPr/>
          <w:p>
            <w:pPr>
              <w:pStyle w:val="Compact"/>
            </w:pPr>
            <w:r>
              <w:rPr>
                <w:b/>
                <w:bCs/>
              </w:rPr>
              <w:t xml:space="preserve">Base case</w:t>
            </w:r>
          </w:p>
        </w:tc>
        <w:tc>
          <w:tcPr/>
          <w:p>
            <w:pPr>
              <w:pStyle w:val="Compact"/>
            </w:pPr>
            <w:r>
              <w:t xml:space="preserve">Q4 around</w:t>
            </w:r>
            <w:r>
              <w:t xml:space="preserve"> </w:t>
            </w:r>
            <m:oMath>
              <m:r>
                <m:t>3.45</m:t>
              </m:r>
              <m:r>
                <m:rPr>
                  <m:sty m:val="p"/>
                </m:rPr>
                <m:t>–</m:t>
              </m:r>
            </m:oMath>
            <w:r>
              <w:t xml:space="preserve">3.55B and</w:t>
            </w:r>
            <w:r>
              <w:t xml:space="preserve"> </w:t>
            </w:r>
            <m:oMath>
              <m:r>
                <m:t>5.00</m:t>
              </m:r>
              <m:r>
                <m:rPr>
                  <m:sty m:val="p"/>
                </m:rPr>
                <m:t>–</m:t>
              </m:r>
            </m:oMath>
            <w:r>
              <w:t xml:space="preserve">5.20; Q1 near consensus; margin expansion remains intact</w:t>
            </w:r>
          </w:p>
        </w:tc>
        <w:tc>
          <w:tcPr/>
          <w:p>
            <w:pPr>
              <w:pStyle w:val="Compact"/>
            </w:pPr>
            <w:r>
              <w:t xml:space="preserve">Fundamentally positive, but stock reaction may depend on positioning</w:t>
            </w:r>
          </w:p>
        </w:tc>
      </w:tr>
      <w:tr>
        <w:tc>
          <w:tcPr/>
          <w:p>
            <w:pPr>
              <w:pStyle w:val="Compact"/>
            </w:pPr>
            <w:r>
              <w:rPr>
                <w:b/>
                <w:bCs/>
              </w:rPr>
              <w:t xml:space="preserve">Bear case</w:t>
            </w:r>
          </w:p>
        </w:tc>
        <w:tc>
          <w:tcPr/>
          <w:p>
            <w:pPr>
              <w:pStyle w:val="Compact"/>
            </w:pPr>
            <w:r>
              <w:t xml:space="preserve">Revenue/EPS below guidance midpoint; Q1 shows little sequential growth; softer pricing or qualification commentary</w:t>
            </w:r>
          </w:p>
        </w:tc>
        <w:tc>
          <w:tcPr/>
          <w:p>
            <w:pPr>
              <w:pStyle w:val="Compact"/>
            </w:pPr>
            <w:r>
              <w:t xml:space="preserve">Raises questions about peak margins and whether fiscal 2027 estimates are too high</w:t>
            </w:r>
          </w:p>
        </w:tc>
      </w:tr>
    </w:tbl>
    <w:bookmarkEnd w:id="26"/>
    <w:bookmarkStart w:id="27" w:name="bottom-line"/>
    <w:p>
      <w:pPr>
        <w:pStyle w:val="Heading2"/>
      </w:pPr>
      <w:r>
        <w:t xml:space="preserve">Bottom line</w:t>
      </w:r>
    </w:p>
    <w:p>
      <w:pPr>
        <w:pStyle w:val="FirstParagraph"/>
      </w:pPr>
      <w:r>
        <w:t xml:space="preserve">Seagate appears positioned to deliver another very strong quarter. Demand is highly visible, fiscal 2027 capacity is largely committed, Mozaic is ramping, margins are expanding and free cash flow is improving rapidly.</w:t>
      </w:r>
    </w:p>
    <w:p>
      <w:pPr>
        <w:pStyle w:val="BodyText"/>
      </w:pPr>
      <w:r>
        <w:t xml:space="preserve">But</w:t>
      </w:r>
      <w:r>
        <w:t xml:space="preserve"> </w:t>
      </w:r>
      <w:r>
        <w:rPr>
          <w:b/>
          <w:bCs/>
        </w:rPr>
        <w:t xml:space="preserve">the report is primarily a test of fiscal 2027 expectations, not fiscal Q4 execution</w:t>
      </w:r>
      <w:r>
        <w:t xml:space="preserve">. A modest Q4 beat is likely already embedded in the setup. For a clearly positive read-through, investors should look for:</w:t>
      </w:r>
    </w:p>
    <w:p>
      <w:pPr>
        <w:pStyle w:val="Compact"/>
        <w:numPr>
          <w:ilvl w:val="0"/>
          <w:numId w:val="1011"/>
        </w:numPr>
      </w:pPr>
      <w:r>
        <w:t xml:space="preserve">Fiscal Q1 guidance at least matching elevated consensus.</w:t>
      </w:r>
    </w:p>
    <w:p>
      <w:pPr>
        <w:pStyle w:val="Compact"/>
        <w:numPr>
          <w:ilvl w:val="0"/>
          <w:numId w:val="1011"/>
        </w:numPr>
      </w:pPr>
      <w:r>
        <w:t xml:space="preserve">Continued sequential margin expansion.</w:t>
      </w:r>
    </w:p>
    <w:p>
      <w:pPr>
        <w:pStyle w:val="Compact"/>
        <w:numPr>
          <w:ilvl w:val="0"/>
          <w:numId w:val="1011"/>
        </w:numPr>
      </w:pPr>
      <w:r>
        <w:t xml:space="preserve">Clean Mozaic 4 qualification and yield progress.</w:t>
      </w:r>
    </w:p>
    <w:p>
      <w:pPr>
        <w:pStyle w:val="Compact"/>
        <w:numPr>
          <w:ilvl w:val="0"/>
          <w:numId w:val="1011"/>
        </w:numPr>
      </w:pPr>
      <w:r>
        <w:t xml:space="preserve">Confirmation of favorable fiscal 2027 pricing.</w:t>
      </w:r>
    </w:p>
    <w:p>
      <w:pPr>
        <w:pStyle w:val="Compact"/>
        <w:numPr>
          <w:ilvl w:val="0"/>
          <w:numId w:val="1011"/>
        </w:numPr>
      </w:pPr>
      <w:r>
        <w:t xml:space="preserve">A credible path to convert rising earnings into buybacks and lower share count.</w:t>
      </w:r>
    </w:p>
    <w:p>
      <w:pPr>
        <w:pStyle w:val="FirstParagraph"/>
      </w:pPr>
      <w:r>
        <w:t xml:space="preserve">The fundamental setup remains bullish; the near-term risk is that an excellent quarter may still fall short of an exceptional market bar.</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investors.seagate.com/news/news-details/2026/Seagate-Delivers-Industrys-Highest-Capacity-Hard-Drives-with-Next-Generation-Mozaic-4/default.aspx?utm_source=openai" TargetMode="External" /><Relationship Type="http://schemas.openxmlformats.org/officeDocument/2006/relationships/hyperlink" Id="rId13" Target="https://investors.seagate.com/news/news-details/2026/Seagate-Technology-Reports-Fiscal-Third-Quarter-2026-Financial-Results/?utm_source=openai" TargetMode="External" /><Relationship Type="http://schemas.openxmlformats.org/officeDocument/2006/relationships/hyperlink" Id="rId9" Target="https://investors.seagate.com/news/news-details/2026/Seagate-Technology-to-Report-Fiscal-Fourth-Quarter-and-Fiscal-Year-2026-Financial-Results-on-July-28-2026/default.aspx?utm_source=openai" TargetMode="External" /><Relationship Type="http://schemas.openxmlformats.org/officeDocument/2006/relationships/hyperlink" Id="rId20" Target="https://s24.q4cdn.com/101481333/files/doc_financials/2026/q3/CORRECTED-TRANSCRIPT_-Seagate-Technology-Holdings-Plc-STX-US-Q3-2026-Earnings-Call-28-April-2026-5_00-PM-ET.pdf?utm_source=openai" TargetMode="External" /><Relationship Type="http://schemas.openxmlformats.org/officeDocument/2006/relationships/hyperlink" Id="rId15" Target="https://stage.zacks.com/stock/quote/STX/detailed-earning-estimates?icid=SITE_SECTION-SUB_SECTION-quote_nav_tracking-zcom-left_subnav_quote_navbar-detailed_earning_estimates&amp;utm_source=openai" TargetMode="External" /><Relationship Type="http://schemas.openxmlformats.org/officeDocument/2006/relationships/hyperlink" Id="rId11" Target="https://www.marketbeat.com/earnings/reports/2026-7-28-seagate-technology-plc-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18" Target="https://investors.seagate.com/news/news-details/2026/Seagate-Delivers-Industrys-Highest-Capacity-Hard-Drives-with-Next-Generation-Mozaic-4/default.aspx?utm_source=openai" TargetMode="External" /><Relationship Type="http://schemas.openxmlformats.org/officeDocument/2006/relationships/hyperlink" Id="rId13" Target="https://investors.seagate.com/news/news-details/2026/Seagate-Technology-Reports-Fiscal-Third-Quarter-2026-Financial-Results/?utm_source=openai" TargetMode="External" /><Relationship Type="http://schemas.openxmlformats.org/officeDocument/2006/relationships/hyperlink" Id="rId9" Target="https://investors.seagate.com/news/news-details/2026/Seagate-Technology-to-Report-Fiscal-Fourth-Quarter-and-Fiscal-Year-2026-Financial-Results-on-July-28-2026/default.aspx?utm_source=openai" TargetMode="External" /><Relationship Type="http://schemas.openxmlformats.org/officeDocument/2006/relationships/hyperlink" Id="rId20" Target="https://s24.q4cdn.com/101481333/files/doc_financials/2026/q3/CORRECTED-TRANSCRIPT_-Seagate-Technology-Holdings-Plc-STX-US-Q3-2026-Earnings-Call-28-April-2026-5_00-PM-ET.pdf?utm_source=openai" TargetMode="External" /><Relationship Type="http://schemas.openxmlformats.org/officeDocument/2006/relationships/hyperlink" Id="rId15" Target="https://stage.zacks.com/stock/quote/STX/detailed-earning-estimates?icid=SITE_SECTION-SUB_SECTION-quote_nav_tracking-zcom-left_subnav_quote_navbar-detailed_earning_estimates&amp;utm_source=openai" TargetMode="External" /><Relationship Type="http://schemas.openxmlformats.org/officeDocument/2006/relationships/hyperlink" Id="rId11" Target="https://www.marketbeat.com/earnings/reports/2026-7-28-seagate-technology-plc-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2026-07-28T01:17:48Z</dcterms:created>
  <dcterms:modified xsi:type="dcterms:W3CDTF">2026-07-28T01:17:48Z</dcterms:modified>
</cp:coreProperties>
</file>

<file path=docProps/custom.xml><?xml version="1.0" encoding="utf-8"?>
<Properties xmlns="http://schemas.openxmlformats.org/officeDocument/2006/custom-properties" xmlns:vt="http://schemas.openxmlformats.org/officeDocument/2006/docPropsVTypes"/>
</file>