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2f5c767c39e924b38f12d65f34976324ee5805"/>
    <w:p>
      <w:pPr>
        <w:pStyle w:val="Heading1"/>
      </w:pPr>
      <w:r>
        <w:t xml:space="preserve">Seagate Technology (NASDAQ: STX) — Fiscal Q4 2026 Earnings Preview</w:t>
      </w:r>
    </w:p>
    <w:p>
      <w:pPr>
        <w:pStyle w:val="BlockText"/>
      </w:pPr>
      <w:r>
        <w:rPr>
          <w:b/>
          <w:bCs/>
        </w:rPr>
        <w:t xml:space="preserve">Date clarification:</w:t>
      </w:r>
      <w:r>
        <w:t xml:space="preserve"> </w:t>
      </w:r>
      <w:r>
        <w:t xml:space="preserve">The earnings event is scheduled for</w:t>
      </w:r>
      <w:r>
        <w:t xml:space="preserve"> </w:t>
      </w:r>
      <w:r>
        <w:rPr>
          <w:b/>
          <w:bCs/>
        </w:rPr>
        <w:t xml:space="preserve">Tuesday, July 28, 2026, after the U.S. market close</w:t>
      </w:r>
      <w:r>
        <w:t xml:space="preserve">—which is</w:t>
      </w:r>
      <w:r>
        <w:t xml:space="preserve"> </w:t>
      </w:r>
      <w:r>
        <w:rPr>
          <w:b/>
          <w:bCs/>
        </w:rPr>
        <w:t xml:space="preserve">today</w:t>
      </w:r>
      <w:r>
        <w:t xml:space="preserve">, not tomorrow.</w:t>
      </w:r>
    </w:p>
    <w:bookmarkStart w:id="9" w:name="X80c516990f460fc211ec951daaf4fc7ac8e10c2"/>
    <w:p>
      <w:pPr>
        <w:pStyle w:val="Heading2"/>
      </w:pPr>
      <w:r>
        <w:t xml:space="preserve">Investment setup: execution against an elevated structural-growth narrative</w:t>
      </w:r>
    </w:p>
    <w:p>
      <w:pPr>
        <w:pStyle w:val="FirstParagraph"/>
      </w:pPr>
      <w:r>
        <w:t xml:space="preserve">Seagate enters fiscal Q4 with its operating momentum exceptionally strong: cloud and enterprise nearline demand is rising, HAMR-based Mozaic products are scaling, pricing has improved, and free-cash-flow conversion has surged. The central question is no longer whether the June-quarter guide is achievable; it is whether management can</w:t>
      </w:r>
      <w:r>
        <w:t xml:space="preserve"> </w:t>
      </w:r>
      <w:r>
        <w:rPr>
          <w:b/>
          <w:bCs/>
        </w:rPr>
        <w:t xml:space="preserve">validate that the revenue, pricing, margin, and cash-flow trajectory continues into fiscal 2027</w:t>
      </w:r>
      <w:r>
        <w:t xml:space="preserve">.</w:t>
      </w:r>
    </w:p>
    <w:p>
      <w:pPr>
        <w:pStyle w:val="BodyText"/>
      </w:pPr>
      <w:r>
        <w:t xml:space="preserve">The stock has already reflected substantial optimism. STX closed at</w:t>
      </w:r>
      <w:r>
        <w:t xml:space="preserve"> </w:t>
      </w:r>
      <w:r>
        <w:rPr>
          <w:b/>
          <w:bCs/>
        </w:rPr>
        <w:t xml:space="preserve">$817.03 on July 27</w:t>
      </w:r>
      <w:r>
        <w:t xml:space="preserve">, up about</w:t>
      </w:r>
      <w:r>
        <w:t xml:space="preserve"> </w:t>
      </w:r>
      <w:r>
        <w:rPr>
          <w:b/>
          <w:bCs/>
        </w:rPr>
        <w:t xml:space="preserve">41%</w:t>
      </w:r>
      <w:r>
        <w:t xml:space="preserve"> </w:t>
      </w:r>
      <w:r>
        <w:t xml:space="preserve">from its April 28 pre-earnings close, although it remains roughly</w:t>
      </w:r>
      <w:r>
        <w:t xml:space="preserve"> </w:t>
      </w:r>
      <w:r>
        <w:rPr>
          <w:b/>
          <w:bCs/>
        </w:rPr>
        <w:t xml:space="preserve">25% below</w:t>
      </w:r>
      <w:r>
        <w:t xml:space="preserve"> </w:t>
      </w:r>
      <w:r>
        <w:t xml:space="preserve">its June 22 closing peak of $1,094.04. This creates a high bar for the report: a simple beat is unlikely to be enough if forward commentary on pricing, HAMR ramp, or customer allocations is less constructive than investors expect.</w:t>
      </w:r>
    </w:p>
    <w:bookmarkEnd w:id="9"/>
    <w:bookmarkStart w:id="10" w:name="what-seagate-guided-for"/>
    <w:p>
      <w:pPr>
        <w:pStyle w:val="Heading2"/>
      </w:pPr>
      <w:r>
        <w:t xml:space="preserve">What Seagate guided for</w:t>
      </w:r>
    </w:p>
    <w:p>
      <w:pPr>
        <w:pStyle w:val="FirstParagraph"/>
      </w:pPr>
      <w:r>
        <w:t xml:space="preserve">For fiscal Q4 2026, management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Company outlook</w:t>
            </w:r>
          </w:p>
        </w:tc>
      </w:tr>
      <w:tr>
        <w:tc>
          <w:tcPr/>
          <w:p>
            <w:pPr>
              <w:pStyle w:val="Compact"/>
            </w:pPr>
            <w:r>
              <w:t xml:space="preserve">Revenue</w:t>
            </w:r>
          </w:p>
        </w:tc>
        <w:tc>
          <w:tcPr/>
          <w:p>
            <w:pPr>
              <w:pStyle w:val="Compact"/>
              <w:jc w:val="right"/>
            </w:pPr>
            <w:r>
              <w:rPr>
                <w:b/>
                <w:bCs/>
              </w:rPr>
              <w:t xml:space="preserve">$3.45B ± $100M</w:t>
            </w:r>
          </w:p>
        </w:tc>
      </w:tr>
      <w:tr>
        <w:tc>
          <w:tcPr/>
          <w:p>
            <w:pPr>
              <w:pStyle w:val="Compact"/>
            </w:pPr>
            <w:r>
              <w:t xml:space="preserve">Non-GAAP EPS</w:t>
            </w:r>
          </w:p>
        </w:tc>
        <w:tc>
          <w:tcPr/>
          <w:p>
            <w:pPr>
              <w:pStyle w:val="Compact"/>
              <w:jc w:val="right"/>
            </w:pPr>
            <w:r>
              <w:rPr>
                <w:b/>
                <w:bCs/>
              </w:rPr>
              <w:t xml:space="preserve">$5.00 ± $0.20</w:t>
            </w:r>
          </w:p>
        </w:tc>
      </w:tr>
      <w:tr>
        <w:tc>
          <w:tcPr/>
          <w:p>
            <w:pPr>
              <w:pStyle w:val="Compact"/>
            </w:pPr>
            <w:r>
              <w:t xml:space="preserve">Non-GAAP operating expenses</w:t>
            </w:r>
          </w:p>
        </w:tc>
        <w:tc>
          <w:tcPr/>
          <w:p>
            <w:pPr>
              <w:pStyle w:val="Compact"/>
              <w:jc w:val="right"/>
            </w:pPr>
            <w:r>
              <w:t xml:space="preserve">Approximately</w:t>
            </w:r>
            <w:r>
              <w:t xml:space="preserve"> </w:t>
            </w:r>
            <w:r>
              <w:rPr>
                <w:b/>
                <w:bCs/>
              </w:rPr>
              <w:t xml:space="preserve">$295M</w:t>
            </w:r>
          </w:p>
        </w:tc>
      </w:tr>
      <w:tr>
        <w:tc>
          <w:tcPr/>
          <w:p>
            <w:pPr>
              <w:pStyle w:val="Compact"/>
            </w:pPr>
            <w:r>
              <w:t xml:space="preserve">Non-GAAP operating margin</w:t>
            </w:r>
          </w:p>
        </w:tc>
        <w:tc>
          <w:tcPr/>
          <w:p>
            <w:pPr>
              <w:pStyle w:val="Compact"/>
              <w:jc w:val="right"/>
            </w:pPr>
            <w:r>
              <w:rPr>
                <w:b/>
                <w:bCs/>
              </w:rPr>
              <w:t xml:space="preserve">Lower-40% range</w:t>
            </w:r>
            <w:r>
              <w:t xml:space="preserve"> </w:t>
            </w:r>
            <w:r>
              <w:t xml:space="preserve">at the revenue midpoint</w:t>
            </w:r>
          </w:p>
        </w:tc>
      </w:tr>
      <w:tr>
        <w:tc>
          <w:tcPr/>
          <w:p>
            <w:pPr>
              <w:pStyle w:val="Compact"/>
            </w:pPr>
            <w:r>
              <w:t xml:space="preserve">Tax rate</w:t>
            </w:r>
          </w:p>
        </w:tc>
        <w:tc>
          <w:tcPr/>
          <w:p>
            <w:pPr>
              <w:pStyle w:val="Compact"/>
              <w:jc w:val="right"/>
            </w:pPr>
            <w:r>
              <w:t xml:space="preserve">Approximately</w:t>
            </w:r>
            <w:r>
              <w:t xml:space="preserve"> </w:t>
            </w:r>
            <w:r>
              <w:rPr>
                <w:b/>
                <w:bCs/>
              </w:rPr>
              <w:t xml:space="preserve">16%</w:t>
            </w:r>
          </w:p>
        </w:tc>
      </w:tr>
      <w:tr>
        <w:tc>
          <w:tcPr/>
          <w:p>
            <w:pPr>
              <w:pStyle w:val="Compact"/>
            </w:pPr>
            <w:r>
              <w:t xml:space="preserve">Diluted shares</w:t>
            </w:r>
          </w:p>
        </w:tc>
        <w:tc>
          <w:tcPr/>
          <w:p>
            <w:pPr>
              <w:pStyle w:val="Compact"/>
              <w:jc w:val="right"/>
            </w:pPr>
            <w:r>
              <w:t xml:space="preserve">Approximately</w:t>
            </w:r>
            <w:r>
              <w:t xml:space="preserve"> </w:t>
            </w:r>
            <w:r>
              <w:rPr>
                <w:b/>
                <w:bCs/>
              </w:rPr>
              <w:t xml:space="preserve">231M</w:t>
            </w:r>
            <w:r>
              <w:t xml:space="preserve">, including estimated convertible-note dilution</w:t>
            </w:r>
          </w:p>
        </w:tc>
      </w:tr>
    </w:tbl>
    <w:p>
      <w:pPr>
        <w:pStyle w:val="BodyText"/>
      </w:pPr>
      <w:r>
        <w:t xml:space="preserve">The revenue midpoint implies roughly</w:t>
      </w:r>
      <w:r>
        <w:t xml:space="preserve"> </w:t>
      </w:r>
      <w:r>
        <w:rPr>
          <w:b/>
          <w:bCs/>
        </w:rPr>
        <w:t xml:space="preserve">11% sequential growth</w:t>
      </w:r>
      <w:r>
        <w:t xml:space="preserve"> </w:t>
      </w:r>
      <w:r>
        <w:t xml:space="preserve">from fiscal Q3’s</w:t>
      </w:r>
      <w:r>
        <w:t xml:space="preserve"> </w:t>
      </w:r>
      <m:oMath>
        <m:r>
          <m:t>3.11</m:t>
        </m:r>
        <m:r>
          <m:t>B</m:t>
        </m:r>
        <m:r>
          <m:rPr>
            <m:sty m:val="p"/>
          </m:rPr>
          <m:t>.</m:t>
        </m:r>
        <m:r>
          <m:t>A</m:t>
        </m:r>
        <m:r>
          <m:t>r</m:t>
        </m:r>
        <m:r>
          <m:t>e</m:t>
        </m:r>
        <m:r>
          <m:t>c</m:t>
        </m:r>
        <m:r>
          <m:t>e</m:t>
        </m:r>
        <m:r>
          <m:t>n</m:t>
        </m:r>
        <m:r>
          <m:t>t</m:t>
        </m:r>
        <m:r>
          <m:t>p</m:t>
        </m:r>
        <m:r>
          <m:t>u</m:t>
        </m:r>
        <m:r>
          <m:t>b</m:t>
        </m:r>
        <m:r>
          <m:t>l</m:t>
        </m:r>
        <m:r>
          <m:t>i</m:t>
        </m:r>
        <m:r>
          <m:t>s</m:t>
        </m:r>
        <m:r>
          <m:t>h</m:t>
        </m:r>
        <m:r>
          <m:t>e</m:t>
        </m:r>
        <m:r>
          <m:t>d</m:t>
        </m:r>
        <m:r>
          <m:t>S</m:t>
        </m:r>
        <m:r>
          <m:t>t</m:t>
        </m:r>
        <m:r>
          <m:t>r</m:t>
        </m:r>
        <m:r>
          <m:t>e</m:t>
        </m:r>
        <m:r>
          <m:t>e</m:t>
        </m:r>
        <m:r>
          <m:t>t</m:t>
        </m:r>
        <m:r>
          <m:t>r</m:t>
        </m:r>
        <m:r>
          <m:t>e</m:t>
        </m:r>
        <m:r>
          <m:t>v</m:t>
        </m:r>
        <m:r>
          <m:t>e</m:t>
        </m:r>
        <m:r>
          <m:t>n</m:t>
        </m:r>
        <m:r>
          <m:t>u</m:t>
        </m:r>
        <m:r>
          <m:t>e</m:t>
        </m:r>
        <m:r>
          <m:t>c</m:t>
        </m:r>
        <m:r>
          <m:t>o</m:t>
        </m:r>
        <m:r>
          <m:t>n</m:t>
        </m:r>
        <m:r>
          <m:t>s</m:t>
        </m:r>
        <m:r>
          <m:t>e</m:t>
        </m:r>
        <m:r>
          <m:t>n</m:t>
        </m:r>
        <m:r>
          <m:t>s</m:t>
        </m:r>
        <m:r>
          <m:t>u</m:t>
        </m:r>
        <m:r>
          <m:t>s</m:t>
        </m:r>
        <m:r>
          <m:t>w</m:t>
        </m:r>
        <m:r>
          <m:t>a</m:t>
        </m:r>
        <m:r>
          <m:t>s</m:t>
        </m:r>
        <m:r>
          <m:rPr>
            <m:sty m:val="p"/>
          </m:rPr>
          <m:t>*</m:t>
        </m:r>
        <m:r>
          <m:rPr>
            <m:sty m:val="p"/>
          </m:rPr>
          <m:t>*</m:t>
        </m:r>
      </m:oMath>
      <w:r>
        <w:t xml:space="preserve">3.49B**, near the upper half of the company’s range and approximately 12% above fiscal Q3.</w:t>
      </w:r>
    </w:p>
    <w:bookmarkEnd w:id="10"/>
    <w:bookmarkStart w:id="14" w:name="why-the-quarter-should-be-strong"/>
    <w:p>
      <w:pPr>
        <w:pStyle w:val="Heading2"/>
      </w:pPr>
      <w:r>
        <w:t xml:space="preserve">Why the quarter should be strong</w:t>
      </w:r>
    </w:p>
    <w:bookmarkStart w:id="11" w:name="X9633d669e4de398798eb51e0bd3e576a6db539c"/>
    <w:p>
      <w:pPr>
        <w:pStyle w:val="Heading3"/>
      </w:pPr>
      <w:r>
        <w:t xml:space="preserve">1. Nearline/cloud demand remains the key fundamental driver</w:t>
      </w:r>
    </w:p>
    <w:p>
      <w:pPr>
        <w:pStyle w:val="FirstParagraph"/>
      </w:pPr>
      <w:r>
        <w:t xml:space="preserve">In fiscal Q3, Seagate shipped</w:t>
      </w:r>
      <w:r>
        <w:t xml:space="preserve"> </w:t>
      </w:r>
      <w:r>
        <w:rPr>
          <w:b/>
          <w:bCs/>
        </w:rPr>
        <w:t xml:space="preserve">199 exabytes</w:t>
      </w:r>
      <w:r>
        <w:t xml:space="preserve">, including</w:t>
      </w:r>
      <w:r>
        <w:t xml:space="preserve"> </w:t>
      </w:r>
      <w:r>
        <w:rPr>
          <w:b/>
          <w:bCs/>
        </w:rPr>
        <w:t xml:space="preserve">175 exabytes</w:t>
      </w:r>
      <w:r>
        <w:t xml:space="preserve"> </w:t>
      </w:r>
      <w:r>
        <w:t xml:space="preserve">into data center markets. Data center represented</w:t>
      </w:r>
      <w:r>
        <w:t xml:space="preserve"> </w:t>
      </w:r>
      <w:r>
        <w:rPr>
          <w:b/>
          <w:bCs/>
        </w:rPr>
        <w:t xml:space="preserve">80% of revenue</w:t>
      </w:r>
      <w:r>
        <w:t xml:space="preserve"> </w:t>
      </w:r>
      <w:r>
        <w:t xml:space="preserve">and</w:t>
      </w:r>
      <w:r>
        <w:t xml:space="preserve"> </w:t>
      </w:r>
      <w:r>
        <w:rPr>
          <w:b/>
          <w:bCs/>
        </w:rPr>
        <w:t xml:space="preserve">88% of exabyte shipments</w:t>
      </w:r>
      <w:r>
        <w:t xml:space="preserve">. Revenue from data center products reached</w:t>
      </w:r>
      <w:r>
        <w:t xml:space="preserve"> </w:t>
      </w:r>
      <w:r>
        <w:rPr>
          <w:b/>
          <w:bCs/>
        </w:rPr>
        <w:t xml:space="preserve">$2.5B</w:t>
      </w:r>
      <w:r>
        <w:t xml:space="preserve">, up 12% sequentially and 55% year over year.</w:t>
      </w:r>
    </w:p>
    <w:p>
      <w:pPr>
        <w:pStyle w:val="BodyText"/>
      </w:pPr>
      <w:r>
        <w:t xml:space="preserve">That mix matters: Seagate’s nearline drives are the principal beneficiary of growing hyperscaler and enterprise demand for lower-cost, power-efficient mass storage. Management has framed AI—particularly inference, video, agentic workflows, and long-term data retention—as an incremental driver of capacity demand rather than merely a traditional cloud-cycle recovery.</w:t>
      </w:r>
    </w:p>
    <w:p>
      <w:pPr>
        <w:pStyle w:val="BodyText"/>
      </w:pPr>
      <w:r>
        <w:rPr>
          <w:b/>
          <w:bCs/>
        </w:rPr>
        <w:t xml:space="preserve">Investor focus:</w:t>
      </w:r>
      <w:r>
        <w:t xml:space="preserve"> </w:t>
      </w:r>
      <w:r>
        <w:t xml:space="preserve">Watch data-center revenue, nearline exabytes, and any commentary on hyperscaler deployment timing. Revenue-per-exabyte and pricing discipline may be more important to the stock than unit shipment growth.</w:t>
      </w:r>
    </w:p>
    <w:bookmarkEnd w:id="11"/>
    <w:bookmarkStart w:id="12" w:name="Xfb63a276e0c5f0fb6d02d09caa3446c5a767e51"/>
    <w:p>
      <w:pPr>
        <w:pStyle w:val="Heading3"/>
      </w:pPr>
      <w:r>
        <w:t xml:space="preserve">2. Pricing and mix are doing much of the earnings work</w:t>
      </w:r>
    </w:p>
    <w:p>
      <w:pPr>
        <w:pStyle w:val="FirstParagraph"/>
      </w:pPr>
      <w:r>
        <w:t xml:space="preserve">Fiscal Q3 non-GAAP gross margin reached</w:t>
      </w:r>
      <w:r>
        <w:t xml:space="preserve"> </w:t>
      </w:r>
      <w:r>
        <w:rPr>
          <w:b/>
          <w:bCs/>
        </w:rPr>
        <w:t xml:space="preserve">47.0%</w:t>
      </w:r>
      <w:r>
        <w:t xml:space="preserve">, up from</w:t>
      </w:r>
      <w:r>
        <w:t xml:space="preserve"> </w:t>
      </w:r>
      <w:r>
        <w:rPr>
          <w:b/>
          <w:bCs/>
        </w:rPr>
        <w:t xml:space="preserve">42.2%</w:t>
      </w:r>
      <w:r>
        <w:t xml:space="preserve"> </w:t>
      </w:r>
      <w:r>
        <w:t xml:space="preserve">in the prior quarter, while non-GAAP operating margin expanded to</w:t>
      </w:r>
      <w:r>
        <w:t xml:space="preserve"> </w:t>
      </w:r>
      <w:r>
        <w:rPr>
          <w:b/>
          <w:bCs/>
        </w:rPr>
        <w:t xml:space="preserve">37.5%</w:t>
      </w:r>
      <w:r>
        <w:t xml:space="preserve">. Management attributed much of the improvement to pricing, favorable mix, and manufacturing utilization.</w:t>
      </w:r>
    </w:p>
    <w:p>
      <w:pPr>
        <w:pStyle w:val="BodyText"/>
      </w:pPr>
      <w:r>
        <w:t xml:space="preserve">For Q4, the lower-40% operating-margin framework suggests another material step-up in profitability. The decisive issue is whether this is a one-quarter operating peak or a durable new earnings base.</w:t>
      </w:r>
    </w:p>
    <w:p>
      <w:pPr>
        <w:pStyle w:val="BodyText"/>
      </w:pPr>
      <w:r>
        <w:t xml:space="preserve">Management has indicated that:</w:t>
      </w:r>
    </w:p>
    <w:p>
      <w:pPr>
        <w:pStyle w:val="Compact"/>
        <w:numPr>
          <w:ilvl w:val="0"/>
          <w:numId w:val="1001"/>
        </w:numPr>
      </w:pPr>
      <w:r>
        <w:t xml:space="preserve">Nearline capacity is largely allocated through</w:t>
      </w:r>
      <w:r>
        <w:t xml:space="preserve"> </w:t>
      </w:r>
      <w:r>
        <w:rPr>
          <w:b/>
          <w:bCs/>
        </w:rPr>
        <w:t xml:space="preserve">calendar 2027</w:t>
      </w:r>
      <w:r>
        <w:t xml:space="preserve">.</w:t>
      </w:r>
    </w:p>
    <w:p>
      <w:pPr>
        <w:pStyle w:val="Compact"/>
        <w:numPr>
          <w:ilvl w:val="0"/>
          <w:numId w:val="1001"/>
        </w:numPr>
      </w:pPr>
      <w:r>
        <w:t xml:space="preserve">Build-to-order agreements with major customers are being finalized through</w:t>
      </w:r>
      <w:r>
        <w:t xml:space="preserve"> </w:t>
      </w:r>
      <w:r>
        <w:rPr>
          <w:b/>
          <w:bCs/>
        </w:rPr>
        <w:t xml:space="preserve">fiscal 2027</w:t>
      </w:r>
      <w:r>
        <w:t xml:space="preserve">.</w:t>
      </w:r>
    </w:p>
    <w:p>
      <w:pPr>
        <w:pStyle w:val="Compact"/>
        <w:numPr>
          <w:ilvl w:val="0"/>
          <w:numId w:val="1001"/>
        </w:numPr>
      </w:pPr>
      <w:r>
        <w:t xml:space="preserve">Pricing, mix, and volume visibility support sequential revenue and profit growth through fiscal 2027.</w:t>
      </w:r>
    </w:p>
    <w:p>
      <w:pPr>
        <w:pStyle w:val="FirstParagraph"/>
      </w:pPr>
      <w:r>
        <w:t xml:space="preserve">A reaffirmation of that outlook would be constructive. Any qualification that pricing has plateaued, that contracts are less firm than expected, or that customer orders are being pulled forward would be a negative surprise.</w:t>
      </w:r>
    </w:p>
    <w:bookmarkEnd w:id="12"/>
    <w:bookmarkStart w:id="13" w:name="Xb50fcb3a8393cbdbbea0d1e04e09900b28819d0"/>
    <w:p>
      <w:pPr>
        <w:pStyle w:val="Heading3"/>
      </w:pPr>
      <w:r>
        <w:t xml:space="preserve">3. Mozaic/HAMR execution is the strategic proof point</w:t>
      </w:r>
    </w:p>
    <w:p>
      <w:pPr>
        <w:pStyle w:val="FirstParagraph"/>
      </w:pPr>
      <w:r>
        <w:t xml:space="preserve">The longer-term thesis rests on Seagate’s ability to translate HAMR technology into higher capacity per drive without a proportionate increase in bill-of-materials cost.</w:t>
      </w:r>
    </w:p>
    <w:p>
      <w:pPr>
        <w:pStyle w:val="BodyText"/>
      </w:pPr>
      <w:r>
        <w:t xml:space="preserve">Important milestones already communicated include:</w:t>
      </w:r>
    </w:p>
    <w:p>
      <w:pPr>
        <w:pStyle w:val="Compact"/>
        <w:numPr>
          <w:ilvl w:val="0"/>
          <w:numId w:val="1002"/>
        </w:numPr>
      </w:pPr>
      <w:r>
        <w:t xml:space="preserve">Two of the world’s largest cloud service providers had qualified Seagate’s</w:t>
      </w:r>
      <w:r>
        <w:t xml:space="preserve"> </w:t>
      </w:r>
      <w:r>
        <w:rPr>
          <w:b/>
          <w:bCs/>
        </w:rPr>
        <w:t xml:space="preserve">4+ TB-per-disk Mozaic</w:t>
      </w:r>
      <w:r>
        <w:t xml:space="preserve"> </w:t>
      </w:r>
      <w:r>
        <w:t xml:space="preserve">products by fiscal Q3.</w:t>
      </w:r>
    </w:p>
    <w:p>
      <w:pPr>
        <w:pStyle w:val="Compact"/>
        <w:numPr>
          <w:ilvl w:val="0"/>
          <w:numId w:val="1002"/>
        </w:numPr>
      </w:pPr>
      <w:r>
        <w:t xml:space="preserve">Revenue shipments of Mozaic 4 began in late March.</w:t>
      </w:r>
    </w:p>
    <w:p>
      <w:pPr>
        <w:pStyle w:val="Compact"/>
        <w:numPr>
          <w:ilvl w:val="0"/>
          <w:numId w:val="1002"/>
        </w:numPr>
      </w:pPr>
      <w:r>
        <w:t xml:space="preserve">Seagate expected to complete qualification with its remaining two leading global cloud customers during fiscal Q4.</w:t>
      </w:r>
    </w:p>
    <w:p>
      <w:pPr>
        <w:pStyle w:val="Compact"/>
        <w:numPr>
          <w:ilvl w:val="0"/>
          <w:numId w:val="1002"/>
        </w:numPr>
      </w:pPr>
      <w:r>
        <w:t xml:space="preserve">Mozaic 4 is expected to become the majority of HAMR exabyte shipments exiting calendar 2026.</w:t>
      </w:r>
    </w:p>
    <w:p>
      <w:pPr>
        <w:pStyle w:val="Compact"/>
        <w:numPr>
          <w:ilvl w:val="0"/>
          <w:numId w:val="1002"/>
        </w:numPr>
      </w:pPr>
      <w:r>
        <w:t xml:space="preserve">The company targets qualification shipments of its</w:t>
      </w:r>
      <w:r>
        <w:t xml:space="preserve"> </w:t>
      </w:r>
      <w:r>
        <w:rPr>
          <w:b/>
          <w:bCs/>
        </w:rPr>
        <w:t xml:space="preserve">50TB Mozaic 5</w:t>
      </w:r>
      <w:r>
        <w:t xml:space="preserve"> </w:t>
      </w:r>
      <w:r>
        <w:t xml:space="preserve">product in late calendar 2027.</w:t>
      </w:r>
    </w:p>
    <w:p>
      <w:pPr>
        <w:pStyle w:val="FirstParagraph"/>
      </w:pPr>
      <w:r>
        <w:t xml:space="preserve">For this report, the most valuable update would be confirmation that the final cloud qualifications are complete or progressing on schedule, coupled with evidence that yields, reliability, and ramp economics support the margin-expansion thesis.</w:t>
      </w:r>
    </w:p>
    <w:bookmarkEnd w:id="13"/>
    <w:bookmarkEnd w:id="14"/>
    <w:bookmarkStart w:id="15" w:name="Xcf96ae48b7e44187e12d2b4a78446abb07c3ad3"/>
    <w:p>
      <w:pPr>
        <w:pStyle w:val="Heading2"/>
      </w:pPr>
      <w:r>
        <w:t xml:space="preserve">Cash flow and capital allocation: a major secondary catalyst</w:t>
      </w:r>
    </w:p>
    <w:p>
      <w:pPr>
        <w:pStyle w:val="FirstParagraph"/>
      </w:pPr>
      <w:r>
        <w:t xml:space="preserve">Seagate generated</w:t>
      </w:r>
      <w:r>
        <w:t xml:space="preserve"> </w:t>
      </w:r>
      <m:oMath>
        <m:r>
          <m:t>953</m:t>
        </m:r>
        <m:r>
          <m:t>M</m:t>
        </m:r>
        <m:r>
          <m:t>o</m:t>
        </m:r>
        <m:r>
          <m:t>f</m:t>
        </m:r>
        <m:r>
          <m:t>f</m:t>
        </m:r>
        <m:r>
          <m:t>r</m:t>
        </m:r>
        <m:r>
          <m:t>e</m:t>
        </m:r>
        <m:r>
          <m:t>e</m:t>
        </m:r>
        <m:r>
          <m:t>c</m:t>
        </m:r>
        <m:r>
          <m:t>a</m:t>
        </m:r>
        <m:r>
          <m:t>s</m:t>
        </m:r>
        <m:r>
          <m:t>h</m:t>
        </m:r>
        <m:r>
          <m:t>f</m:t>
        </m:r>
        <m:r>
          <m:t>l</m:t>
        </m:r>
        <m:r>
          <m:t>o</m:t>
        </m:r>
        <m:r>
          <m:t>w</m:t>
        </m:r>
        <m:r>
          <m:rPr>
            <m:sty m:val="p"/>
          </m:rPr>
          <m:t>*</m:t>
        </m:r>
        <m:r>
          <m:rPr>
            <m:sty m:val="p"/>
          </m:rPr>
          <m:t>*</m:t>
        </m:r>
        <m:r>
          <m:t>i</m:t>
        </m:r>
        <m:r>
          <m:t>n</m:t>
        </m:r>
        <m:r>
          <m:t>f</m:t>
        </m:r>
        <m:r>
          <m:t>i</m:t>
        </m:r>
        <m:r>
          <m:t>s</m:t>
        </m:r>
        <m:r>
          <m:t>c</m:t>
        </m:r>
        <m:r>
          <m:t>a</m:t>
        </m:r>
        <m:r>
          <m:t>l</m:t>
        </m:r>
        <m:r>
          <m:t>Q</m:t>
        </m:r>
        <m:r>
          <m:t>3</m:t>
        </m:r>
        <m:r>
          <m:rPr>
            <m:sty m:val="p"/>
          </m:rPr>
          <m:t>,</m:t>
        </m:r>
        <m:r>
          <m:t>a</m:t>
        </m:r>
        <m:r>
          <m:t>31</m:t>
        </m:r>
      </m:oMath>
      <w:r>
        <w:rPr>
          <w:b/>
          <w:bCs/>
        </w:rPr>
        <w:t xml:space="preserve">641M of debt</w:t>
      </w:r>
      <w:r>
        <w:t xml:space="preserve"> </w:t>
      </w:r>
      <w:r>
        <w:t xml:space="preserve">and return</w:t>
      </w:r>
      <w:r>
        <w:t xml:space="preserve"> </w:t>
      </w:r>
      <w:r>
        <w:rPr>
          <w:b/>
          <w:bCs/>
        </w:rPr>
        <w:t xml:space="preserve">$191M</w:t>
      </w:r>
      <w:r>
        <w:t xml:space="preserve"> </w:t>
      </w:r>
      <w:r>
        <w:t xml:space="preserve">to shareholders through dividends and repurchases.</w:t>
      </w:r>
    </w:p>
    <w:p>
      <w:pPr>
        <w:pStyle w:val="BodyText"/>
      </w:pPr>
      <w:r>
        <w:t xml:space="preserve">The company exited fiscal Q3 with:</w:t>
      </w:r>
    </w:p>
    <w:p>
      <w:pPr>
        <w:pStyle w:val="Compact"/>
        <w:numPr>
          <w:ilvl w:val="0"/>
          <w:numId w:val="1003"/>
        </w:numPr>
      </w:pPr>
      <w:r>
        <w:rPr>
          <w:b/>
          <w:bCs/>
        </w:rPr>
        <w:t xml:space="preserve">$1.1B</w:t>
      </w:r>
      <w:r>
        <w:t xml:space="preserve"> </w:t>
      </w:r>
      <w:r>
        <w:t xml:space="preserve">of cash and cash equivalents;</w:t>
      </w:r>
    </w:p>
    <w:p>
      <w:pPr>
        <w:pStyle w:val="Compact"/>
        <w:numPr>
          <w:ilvl w:val="0"/>
          <w:numId w:val="1003"/>
        </w:numPr>
      </w:pPr>
      <w:r>
        <w:t xml:space="preserve">approximately</w:t>
      </w:r>
      <w:r>
        <w:t xml:space="preserve"> </w:t>
      </w:r>
      <w:r>
        <w:rPr>
          <w:b/>
          <w:bCs/>
        </w:rPr>
        <w:t xml:space="preserve">$3.9B</w:t>
      </w:r>
      <w:r>
        <w:t xml:space="preserve"> </w:t>
      </w:r>
      <w:r>
        <w:t xml:space="preserve">of gross debt;</w:t>
      </w:r>
    </w:p>
    <w:p>
      <w:pPr>
        <w:pStyle w:val="Compact"/>
        <w:numPr>
          <w:ilvl w:val="0"/>
          <w:numId w:val="1003"/>
        </w:numPr>
      </w:pPr>
      <w:r>
        <w:t xml:space="preserve">a stated net-leverage ratio of</w:t>
      </w:r>
      <w:r>
        <w:t xml:space="preserve"> </w:t>
      </w:r>
      <w:r>
        <w:rPr>
          <w:b/>
          <w:bCs/>
        </w:rPr>
        <w:t xml:space="preserve">0.7x</w:t>
      </w:r>
      <w:r>
        <w:t xml:space="preserve">;</w:t>
      </w:r>
    </w:p>
    <w:p>
      <w:pPr>
        <w:pStyle w:val="Compact"/>
        <w:numPr>
          <w:ilvl w:val="0"/>
          <w:numId w:val="1003"/>
        </w:numPr>
      </w:pPr>
      <w:r>
        <w:rPr>
          <w:b/>
          <w:bCs/>
        </w:rPr>
        <w:t xml:space="preserve">$4.9B</w:t>
      </w:r>
      <w:r>
        <w:t xml:space="preserve"> </w:t>
      </w:r>
      <w:r>
        <w:t xml:space="preserve">remaining under its share-repurchase authorization as of April 3.</w:t>
      </w:r>
    </w:p>
    <w:p>
      <w:pPr>
        <w:pStyle w:val="FirstParagraph"/>
      </w:pPr>
      <w:r>
        <w:t xml:space="preserve">Management suggested that, after addressing remaining convertible debt, capital returns may increasingly tilt toward repurchases. Investors should listen for updates on:</w:t>
      </w:r>
    </w:p>
    <w:p>
      <w:pPr>
        <w:pStyle w:val="Compact"/>
        <w:numPr>
          <w:ilvl w:val="0"/>
          <w:numId w:val="1004"/>
        </w:numPr>
      </w:pPr>
      <w:r>
        <w:t xml:space="preserve">the remaining 2028 exchangeable-note balance and any redemption activity;</w:t>
      </w:r>
    </w:p>
    <w:p>
      <w:pPr>
        <w:pStyle w:val="Compact"/>
        <w:numPr>
          <w:ilvl w:val="0"/>
          <w:numId w:val="1004"/>
        </w:numPr>
      </w:pPr>
      <w:r>
        <w:t xml:space="preserve">expected buyback pace;</w:t>
      </w:r>
    </w:p>
    <w:p>
      <w:pPr>
        <w:pStyle w:val="Compact"/>
        <w:numPr>
          <w:ilvl w:val="0"/>
          <w:numId w:val="1004"/>
        </w:numPr>
      </w:pPr>
      <w:r>
        <w:t xml:space="preserve">dividend sustainability and growth;</w:t>
      </w:r>
    </w:p>
    <w:p>
      <w:pPr>
        <w:pStyle w:val="Compact"/>
        <w:numPr>
          <w:ilvl w:val="0"/>
          <w:numId w:val="1004"/>
        </w:numPr>
      </w:pPr>
      <w:r>
        <w:t xml:space="preserve">fiscal 2027 capex requirements as HAMR ramps.</w:t>
      </w:r>
    </w:p>
    <w:p>
      <w:pPr>
        <w:pStyle w:val="FirstParagraph"/>
      </w:pPr>
      <w:r>
        <w:t xml:space="preserve">A favorable outcome would be a combination of sustained free-cash-flow conversion, further deleveraging, and a more explicit buyback framework.</w:t>
      </w:r>
    </w:p>
    <w:bookmarkEnd w:id="15"/>
    <w:bookmarkStart w:id="18" w:name="what-matters-most-on-the-call"/>
    <w:p>
      <w:pPr>
        <w:pStyle w:val="Heading2"/>
      </w:pPr>
      <w:r>
        <w:t xml:space="preserve">What matters most on the call</w:t>
      </w:r>
    </w:p>
    <w:bookmarkStart w:id="16" w:name="bullish-signals"/>
    <w:p>
      <w:pPr>
        <w:pStyle w:val="Heading3"/>
      </w:pPr>
      <w:r>
        <w:t xml:space="preserve">Bullish signals</w:t>
      </w:r>
    </w:p>
    <w:p>
      <w:pPr>
        <w:pStyle w:val="Compact"/>
        <w:numPr>
          <w:ilvl w:val="0"/>
          <w:numId w:val="1005"/>
        </w:numPr>
      </w:pPr>
      <w:r>
        <w:t xml:space="preserve">Revenue and EPS at or above the upper half of guidance.</w:t>
      </w:r>
    </w:p>
    <w:p>
      <w:pPr>
        <w:pStyle w:val="Compact"/>
        <w:numPr>
          <w:ilvl w:val="0"/>
          <w:numId w:val="1005"/>
        </w:numPr>
      </w:pPr>
      <w:r>
        <w:t xml:space="preserve">Data-center revenue and nearline exabytes continue to grow sequentially.</w:t>
      </w:r>
    </w:p>
    <w:p>
      <w:pPr>
        <w:pStyle w:val="Compact"/>
        <w:numPr>
          <w:ilvl w:val="0"/>
          <w:numId w:val="1005"/>
        </w:numPr>
      </w:pPr>
      <w:r>
        <w:t xml:space="preserve">Confirmation that remaining major cloud-customer Mozaic qualifications have been completed or remain firmly on schedule.</w:t>
      </w:r>
    </w:p>
    <w:p>
      <w:pPr>
        <w:pStyle w:val="Compact"/>
        <w:numPr>
          <w:ilvl w:val="0"/>
          <w:numId w:val="1005"/>
        </w:numPr>
      </w:pPr>
      <w:r>
        <w:t xml:space="preserve">Continued positive revenue-per-terabyte pricing and no indication of competitive discounting.</w:t>
      </w:r>
    </w:p>
    <w:p>
      <w:pPr>
        <w:pStyle w:val="Compact"/>
        <w:numPr>
          <w:ilvl w:val="0"/>
          <w:numId w:val="1005"/>
        </w:numPr>
      </w:pPr>
      <w:r>
        <w:t xml:space="preserve">Fiscal 2027 outlook implies continued sequential growth in revenue, gross margin, operating margin, and free cash flow.</w:t>
      </w:r>
    </w:p>
    <w:p>
      <w:pPr>
        <w:pStyle w:val="Compact"/>
        <w:numPr>
          <w:ilvl w:val="0"/>
          <w:numId w:val="1005"/>
        </w:numPr>
      </w:pPr>
      <w:r>
        <w:t xml:space="preserve">More specific authorization or execution detail around share repurchases.</w:t>
      </w:r>
    </w:p>
    <w:bookmarkEnd w:id="16"/>
    <w:bookmarkStart w:id="17" w:name="bearish-signals"/>
    <w:p>
      <w:pPr>
        <w:pStyle w:val="Heading3"/>
      </w:pPr>
      <w:r>
        <w:t xml:space="preserve">Bearish signals</w:t>
      </w:r>
    </w:p>
    <w:p>
      <w:pPr>
        <w:pStyle w:val="Compact"/>
        <w:numPr>
          <w:ilvl w:val="0"/>
          <w:numId w:val="1006"/>
        </w:numPr>
      </w:pPr>
      <w:r>
        <w:t xml:space="preserve">Q4 results meet guidance, but fiscal 2027 commentary becomes less definitive.</w:t>
      </w:r>
    </w:p>
    <w:p>
      <w:pPr>
        <w:pStyle w:val="Compact"/>
        <w:numPr>
          <w:ilvl w:val="0"/>
          <w:numId w:val="1006"/>
        </w:numPr>
      </w:pPr>
      <w:r>
        <w:t xml:space="preserve">Pricing is characterized as peaking, normalizing, or becoming more contractually constrained.</w:t>
      </w:r>
    </w:p>
    <w:p>
      <w:pPr>
        <w:pStyle w:val="Compact"/>
        <w:numPr>
          <w:ilvl w:val="0"/>
          <w:numId w:val="1006"/>
        </w:numPr>
      </w:pPr>
      <w:r>
        <w:t xml:space="preserve">HAMR yields, qualification timing, quality, or supply availability become limiting factors.</w:t>
      </w:r>
    </w:p>
    <w:p>
      <w:pPr>
        <w:pStyle w:val="Compact"/>
        <w:numPr>
          <w:ilvl w:val="0"/>
          <w:numId w:val="1006"/>
        </w:numPr>
      </w:pPr>
      <w:r>
        <w:t xml:space="preserve">A slower-than-expected pace of cloud deployments or evidence of customer inventory buildup.</w:t>
      </w:r>
    </w:p>
    <w:p>
      <w:pPr>
        <w:pStyle w:val="Compact"/>
        <w:numPr>
          <w:ilvl w:val="0"/>
          <w:numId w:val="1006"/>
        </w:numPr>
      </w:pPr>
      <w:r>
        <w:t xml:space="preserve">Higher capex, working-capital demands, or supply-chain costs that pressure free cash flow.</w:t>
      </w:r>
    </w:p>
    <w:p>
      <w:pPr>
        <w:pStyle w:val="Compact"/>
        <w:numPr>
          <w:ilvl w:val="0"/>
          <w:numId w:val="1006"/>
        </w:numPr>
      </w:pPr>
      <w:r>
        <w:t xml:space="preserve">More significant tariff, export-control, rare-earth, logistics, or geopolitical impacts than management expected in April.</w:t>
      </w:r>
    </w:p>
    <w:bookmarkEnd w:id="17"/>
    <w:bookmarkEnd w:id="18"/>
    <w:bookmarkStart w:id="19" w:name="key-risks-going-into-the-print"/>
    <w:p>
      <w:pPr>
        <w:pStyle w:val="Heading2"/>
      </w:pPr>
      <w:r>
        <w:t xml:space="preserve">Key risks going into the print</w:t>
      </w:r>
    </w:p>
    <w:p>
      <w:pPr>
        <w:pStyle w:val="FirstParagraph"/>
      </w:pPr>
      <w:r>
        <w:rPr>
          <w:b/>
          <w:bCs/>
        </w:rPr>
        <w:t xml:space="preserve">Expectations risk.</w:t>
      </w:r>
      <w:r>
        <w:t xml:space="preserve"> </w:t>
      </w:r>
      <w:r>
        <w:t xml:space="preserve">The core operational setup is favorable, but Seagate must demonstrate that its multi-quarter growth and margin outlook remains intact. With the stock’s large run since April, the market may punish merely “in-line” forward commentary.</w:t>
      </w:r>
    </w:p>
    <w:p>
      <w:pPr>
        <w:pStyle w:val="BodyText"/>
      </w:pPr>
      <w:r>
        <w:rPr>
          <w:b/>
          <w:bCs/>
        </w:rPr>
        <w:t xml:space="preserve">Customer concentration and allocation risk.</w:t>
      </w:r>
      <w:r>
        <w:t xml:space="preserve"> </w:t>
      </w:r>
      <w:r>
        <w:t xml:space="preserve">Seagate’s nearline business depends heavily on a concentrated set of hyperscale and cloud customers. While supply agreements enhance visibility, they also increase sensitivity to deployment schedules, qualification timing, and individual customer procurement changes.</w:t>
      </w:r>
    </w:p>
    <w:p>
      <w:pPr>
        <w:pStyle w:val="BodyText"/>
      </w:pPr>
      <w:r>
        <w:rPr>
          <w:b/>
          <w:bCs/>
        </w:rPr>
        <w:t xml:space="preserve">HAMR ramp risk.</w:t>
      </w:r>
      <w:r>
        <w:t xml:space="preserve"> </w:t>
      </w:r>
      <w:r>
        <w:t xml:space="preserve">Mozaic is central to Seagate’s higher-capacity, higher-margin roadmap. A delay in qualification, a production-yield issue, reliability concern, or slower manufacturing ramp would challenge both the technology and earnings narratives.</w:t>
      </w:r>
    </w:p>
    <w:p>
      <w:pPr>
        <w:pStyle w:val="BodyText"/>
      </w:pPr>
      <w:r>
        <w:rPr>
          <w:b/>
          <w:bCs/>
        </w:rPr>
        <w:t xml:space="preserve">Trade and supply-chain risk.</w:t>
      </w:r>
      <w:r>
        <w:t xml:space="preserve"> </w:t>
      </w:r>
      <w:r>
        <w:t xml:space="preserve">Seagate has material global manufacturing and sourcing exposure, including reliance on critical components and rare-earth inputs. The company has cautioned that tariffs, export controls, logistics disruption, and geopolitical developments can affect costs, product availability, and customer demand.</w:t>
      </w:r>
    </w:p>
    <w:p>
      <w:pPr>
        <w:pStyle w:val="BodyText"/>
      </w:pPr>
      <w:r>
        <w:rPr>
          <w:b/>
          <w:bCs/>
        </w:rPr>
        <w:t xml:space="preserve">Cyclicality risk.</w:t>
      </w:r>
      <w:r>
        <w:t xml:space="preserve"> </w:t>
      </w:r>
      <w:r>
        <w:t xml:space="preserve">The HDD market has historically been volatile. Management’s current strategy is built around tight supply, disciplined pricing, and capacity-per-drive expansion; a sharp reversal in cloud demand or a competitor-led pricing response could rapidly reduce operating leverage.</w:t>
      </w:r>
    </w:p>
    <w:bookmarkEnd w:id="19"/>
    <w:bookmarkStart w:id="21" w:name="bottom-line"/>
    <w:p>
      <w:pPr>
        <w:pStyle w:val="Heading2"/>
      </w:pPr>
      <w:r>
        <w:t xml:space="preserve">Bottom line</w:t>
      </w:r>
    </w:p>
    <w:p>
      <w:pPr>
        <w:pStyle w:val="FirstParagraph"/>
      </w:pPr>
      <w:r>
        <w:t xml:space="preserve">STX’s fiscal Q4 report is best viewed as a test of the</w:t>
      </w:r>
      <w:r>
        <w:t xml:space="preserve"> </w:t>
      </w:r>
      <w:r>
        <w:rPr>
          <w:b/>
          <w:bCs/>
        </w:rPr>
        <w:t xml:space="preserve">duration and quality</w:t>
      </w:r>
      <w:r>
        <w:t xml:space="preserve"> </w:t>
      </w:r>
      <w:r>
        <w:t xml:space="preserve">of its earnings upcycle, not simply a test of whether it can clear its June-quarter guide.</w:t>
      </w:r>
    </w:p>
    <w:p>
      <w:pPr>
        <w:pStyle w:val="BodyText"/>
      </w:pPr>
      <w:r>
        <w:t xml:space="preserve">The company appears positioned to report another strong quarter, supported by favorable nearline demand, a pricing-and-mix tailwind, HAMR adoption, and exceptional cash generation. But the stock’s post-April appreciation means investors will likely demand evidence that fiscal 2027 can deliver</w:t>
      </w:r>
      <w:r>
        <w:t xml:space="preserve"> </w:t>
      </w:r>
      <w:r>
        <w:rPr>
          <w:b/>
          <w:bCs/>
        </w:rPr>
        <w:t xml:space="preserve">continued sequential revenue growth, margin expansion, and capital returns</w:t>
      </w:r>
      <w:r>
        <w:t xml:space="preserve">.</w:t>
      </w:r>
    </w:p>
    <w:p>
      <w:pPr>
        <w:pStyle w:val="BodyText"/>
      </w:pPr>
      <w:r>
        <w:t xml:space="preserve">The most important incremental datapoints will be:</w:t>
      </w:r>
      <w:r>
        <w:t xml:space="preserve"> </w:t>
      </w:r>
      <w:r>
        <w:rPr>
          <w:b/>
          <w:bCs/>
        </w:rPr>
        <w:t xml:space="preserve">Mozaic qualification/ramp progress, fiscal 2027 pricing and allocation visibility, data-center demand strength, and the credibility of sustained free-cash-flow generation.</w:t>
      </w:r>
    </w:p>
    <w:p>
      <w:r>
        <w:pict>
          <v:rect style="width:0;height:1.5pt" o:hralign="center" o:hrstd="t" o:hr="t"/>
        </w:pict>
      </w:r>
    </w:p>
    <w:bookmarkStart w:id="20" w:name="research-basis"/>
    <w:p>
      <w:pPr>
        <w:pStyle w:val="Heading3"/>
      </w:pPr>
      <w:r>
        <w:t xml:space="preserve">Research basis</w:t>
      </w:r>
    </w:p>
    <w:p>
      <w:pPr>
        <w:pStyle w:val="Compact"/>
        <w:numPr>
          <w:ilvl w:val="0"/>
          <w:numId w:val="1007"/>
        </w:numPr>
      </w:pPr>
      <w:r>
        <w:t xml:space="preserve">Seagate fiscal Q3 2026 earnings release, reported April 29, 2026.</w:t>
      </w:r>
    </w:p>
    <w:p>
      <w:pPr>
        <w:pStyle w:val="Compact"/>
        <w:numPr>
          <w:ilvl w:val="0"/>
          <w:numId w:val="1007"/>
        </w:numPr>
      </w:pPr>
      <w:r>
        <w:t xml:space="preserve">Seagate fiscal Q3 2026 earnings-call transcript, April 28, 2026.</w:t>
      </w:r>
    </w:p>
    <w:p>
      <w:pPr>
        <w:pStyle w:val="Compact"/>
        <w:numPr>
          <w:ilvl w:val="0"/>
          <w:numId w:val="1007"/>
        </w:numPr>
      </w:pPr>
      <w:r>
        <w:t xml:space="preserve">Seagate fiscal Q3 2026 Form 10-Q, filed April 29, 2026.</w:t>
      </w:r>
    </w:p>
    <w:p>
      <w:pPr>
        <w:pStyle w:val="Compact"/>
        <w:numPr>
          <w:ilvl w:val="0"/>
          <w:numId w:val="1007"/>
        </w:numPr>
      </w:pPr>
      <w:r>
        <w:t xml:space="preserve">STX historical closing-price data through July 27, 2026.</w:t>
      </w:r>
    </w:p>
    <w:p>
      <w:pPr>
        <w:pStyle w:val="Compact"/>
        <w:numPr>
          <w:ilvl w:val="0"/>
          <w:numId w:val="1007"/>
        </w:numPr>
      </w:pPr>
      <w:r>
        <w:t xml:space="preserve">Recent pre-earnings market-news digest dated July 24, 2026.</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2026-07-28T01:15:11Z</dcterms:created>
  <dcterms:modified xsi:type="dcterms:W3CDTF">2026-07-28T01:15:11Z</dcterms:modified>
</cp:coreProperties>
</file>

<file path=docProps/custom.xml><?xml version="1.0" encoding="utf-8"?>
<Properties xmlns="http://schemas.openxmlformats.org/officeDocument/2006/custom-properties" xmlns:vt="http://schemas.openxmlformats.org/officeDocument/2006/docPropsVTypes"/>
</file>