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Seagate Technology (STX) — Earnings Preview</w:t>
      </w:r>
    </w:p>
    <w:p>
      <w:r>
        <w:rPr>
          <w:rFonts w:ascii="Calibri" w:hAnsi="Calibri"/>
          <w:b/>
          <w:color w:val="525866"/>
          <w:sz w:val="22"/>
        </w:rPr>
        <w:t xml:space="preserve">Ticker: </w:t>
      </w:r>
      <w:r>
        <w:rPr>
          <w:rFonts w:ascii="Calibri" w:hAnsi="Calibri"/>
          <w:color w:val="525866"/>
          <w:sz w:val="22"/>
        </w:rPr>
        <w:t xml:space="preserve">STX  </w:t>
      </w:r>
      <w:r>
        <w:rPr>
          <w:rFonts w:ascii="Calibri" w:hAnsi="Calibri"/>
          <w:b/>
          <w:color w:val="525866"/>
          <w:sz w:val="22"/>
        </w:rPr>
        <w:t xml:space="preserve">  |  Upcoming Earnings: </w:t>
      </w:r>
      <w:r>
        <w:rPr>
          <w:rFonts w:ascii="Calibri" w:hAnsi="Calibri"/>
          <w:color w:val="525866"/>
          <w:sz w:val="22"/>
        </w:rPr>
        <w:t xml:space="preserve">Q4 FY2026 (fiscal quarter ended June 30, 2026), reporting July 28, 2026  </w:t>
      </w:r>
      <w:r>
        <w:rPr>
          <w:rFonts w:ascii="Calibri" w:hAnsi="Calibri"/>
          <w:b/>
          <w:color w:val="525866"/>
          <w:sz w:val="22"/>
        </w:rPr>
        <w:t xml:space="preserve">  |  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skewed to beat — consensus sits below guidance midpoint on both revenue and EPS, HAMR ramp is ahead of schedule, and management has explicitly guided for sequential revenue and margin expansion through FY2027; the single biggest swing factor is whether gross margin can sustain or exceed the guided ~50% level as Mozaic 4+ scales.</w:t>
      </w:r>
    </w:p>
    <w:p>
      <w:r>
        <w:rPr>
          <w:rFonts w:ascii="Calibri" w:hAnsi="Calibri"/>
          <w:color w:val="525866"/>
          <w:sz w:val="22"/>
        </w:rPr>
        <w:t xml:space="preserve">Heading into Q4 FY2026, the bar looks beatable: consensus revenue of ~$3.50B sits modestly above the $3.45B guidance midpoint, while consensus EPS of ~$5.13 is just above the $5.00 midpoint — a tight spread that leaves room for upside if pricing or mix surprises to the upside. </w:t>
      </w:r>
      <w:r>
        <w:rPr>
          <w:rFonts w:ascii="Calibri" w:hAnsi="Calibri"/>
          <w:b/>
          <w:color w:val="525866"/>
          <w:sz w:val="22"/>
        </w:rPr>
        <w:t>Management's tone has been unambiguously bullish since the April 28 print</w:t>
      </w:r>
      <w:r>
        <w:rPr>
          <w:rFonts w:ascii="Calibri" w:hAnsi="Calibri"/>
          <w:color w:val="525866"/>
          <w:sz w:val="22"/>
        </w:rPr>
        <w:t xml:space="preserve"> — at the JP Morgan (May 18), TD Cowen (May 27), and Bank of America (June 2) conferences, CFO Romano reiterated that revenue and profitability will increase "every quarter" for the next four to five quarters, backed by finalized build-to-order contracts through FY2027 and nearline capacity almost fully allocated through calendar 2027. Estimate revisions have moved sharply higher since the Q3 beat — consensus revenue for Q4 FY2026 rose from ~$3.48B to ~$3.50B and EPS from ~$5.09 to ~$5.13 post-print — but still trail the implied trajectory of management's 20%-plus annual growth target, suggesting the Street has not fully caught up. </w:t>
      </w:r>
    </w:p>
    <w:p>
      <w:r>
        <w:rPr>
          <w:rFonts w:ascii="Calibri" w:hAnsi="Calibri"/>
          <w:color w:val="525866"/>
          <w:sz w:val="22"/>
        </w:rPr>
        <w:t xml:space="preserve">The stock has already priced in significant outperformance, rallying ~41% since the April 28 earnings date (vs. XLK +10%, SPY +4%), peaking near $1,094 in late June before pulling back to ~$817 today — a ~25% drawdown from the high that has reset the multiple somewhat but still leaves STX trading at a meaningful premium to its historical range. </w:t>
      </w:r>
      <w:r>
        <w:rPr>
          <w:rFonts w:ascii="Calibri" w:hAnsi="Calibri"/>
          <w:b/>
          <w:color w:val="525866"/>
          <w:sz w:val="22"/>
        </w:rPr>
        <w:t xml:space="preserve">The wildcard is gross margin: </w:t>
      </w:r>
      <w:r>
        <w:rPr>
          <w:rFonts w:ascii="Calibri" w:hAnsi="Calibri"/>
          <w:color w:val="525866"/>
          <w:sz w:val="22"/>
        </w:rPr>
        <w:t>management guided ~50% for Q4, and any print at or above that level — particularly if Mozaic 4+ mix shift and edge segment pricing strength both contribute — could re-accelerate the stock; conversely, any hint of qualification delays on Mozaic 5 or softening in the edge segment (where NAND pricing dynamics are the key variable) would be the most likely source of disappointment.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modestly above guidance midpoints on revenue and EPS, making the bar achievable but not low. </w:t>
      </w:r>
      <w:r>
        <w:rPr>
          <w:rFonts w:ascii="Calibri" w:hAnsi="Calibri"/>
          <w:b/>
          <w:color w:val="525866"/>
          <w:sz w:val="22"/>
        </w:rPr>
        <w:t>Gross margin is the bigger swing factor</w:t>
      </w:r>
      <w:r>
        <w:rPr>
          <w:rFonts w:ascii="Calibri" w:hAnsi="Calibri"/>
          <w:color w:val="525866"/>
          <w:sz w:val="22"/>
        </w:rPr>
        <w:t xml:space="preserve"> — any print at or above the guided ~50% would be a positive catalyst, while exabyte shipments are the volume proof point for the HAMR ramp story.</w:t>
      </w:r>
    </w:p>
    <w:p>
      <w:pPr>
        <w:pStyle w:val="Heading3"/>
      </w:pPr>
      <w:r>
        <w:rPr>
          <w:rFonts w:ascii="Calibri" w:hAnsi="Calibri"/>
          <w:b/>
          <w:color w:val="3B4259"/>
          <w:sz w:val="24"/>
        </w:rPr>
        <w:t>Table 1 — Q4 FY2026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Last Quarter Actual (Q3 FY2026)</w:t>
            </w:r>
          </w:p>
        </w:tc>
        <w:tc>
          <w:tcPr>
            <w:tcW w:type="dxa" w:w="1234"/>
          </w:tcPr>
          <w:p>
            <w:r>
              <w:rPr>
                <w:rFonts w:ascii="Calibri" w:hAnsi="Calibri"/>
                <w:b/>
                <w:sz w:val="22"/>
              </w:rPr>
              <w:t>Prior Year Period (Q4 FY2025)</w:t>
            </w:r>
          </w:p>
        </w:tc>
        <w:tc>
          <w:tcPr>
            <w:tcW w:type="dxa" w:w="1234"/>
          </w:tcPr>
          <w:p>
            <w:r>
              <w:rPr>
                <w:rFonts w:ascii="Calibri" w:hAnsi="Calibri"/>
                <w:b/>
                <w:sz w:val="22"/>
              </w:rPr>
              <w:t>Q4 FY2026 Consensus Estimate</w:t>
            </w:r>
          </w:p>
        </w:tc>
        <w:tc>
          <w:tcPr>
            <w:tcW w:type="dxa" w:w="1234"/>
          </w:tcPr>
          <w:p>
            <w:r>
              <w:rPr>
                <w:rFonts w:ascii="Calibri" w:hAnsi="Calibri"/>
                <w:b/>
                <w:sz w:val="22"/>
              </w:rPr>
              <w:t>YoY Change</w:t>
            </w:r>
          </w:p>
        </w:tc>
        <w:tc>
          <w:tcPr>
            <w:tcW w:type="dxa" w:w="1234"/>
          </w:tcPr>
          <w:p>
            <w:r>
              <w:rPr>
                <w:rFonts w:ascii="Calibri" w:hAnsi="Calibri"/>
                <w:b/>
                <w:sz w:val="22"/>
              </w:rPr>
              <w:t>Guidance (Q4 FY2026)</w:t>
            </w:r>
          </w:p>
        </w:tc>
        <w:tc>
          <w:tcPr>
            <w:tcW w:type="dxa" w:w="1234"/>
          </w:tcPr>
          <w:p>
            <w:r>
              <w:rPr>
                <w:rFonts w:ascii="Calibri" w:hAnsi="Calibri"/>
                <w:b/>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$3.112B</w:t>
            </w:r>
          </w:p>
        </w:tc>
        <w:tc>
          <w:tcPr>
            <w:tcW w:type="dxa" w:w="1234"/>
          </w:tcPr>
          <w:p>
            <w:r>
              <w:rPr>
                <w:rFonts w:ascii="Calibri" w:hAnsi="Calibri"/>
                <w:sz w:val="22"/>
              </w:rPr>
              <w:t>$2.444B</w:t>
            </w:r>
          </w:p>
        </w:tc>
        <w:tc>
          <w:tcPr>
            <w:tcW w:type="dxa" w:w="1234"/>
          </w:tcPr>
          <w:p>
            <w:r>
              <w:rPr>
                <w:rFonts w:ascii="Calibri" w:hAnsi="Calibri"/>
                <w:sz w:val="22"/>
              </w:rPr>
              <w:t>$3.502B</w:t>
            </w:r>
          </w:p>
        </w:tc>
        <w:tc>
          <w:tcPr>
            <w:tcW w:type="dxa" w:w="1234"/>
          </w:tcPr>
          <w:p>
            <w:r>
              <w:rPr>
                <w:rFonts w:ascii="Calibri" w:hAnsi="Calibri"/>
                <w:b/>
                <w:color w:val="30A46C"/>
                <w:sz w:val="22"/>
              </w:rPr>
              <w:t>+43.3% YoY</w:t>
            </w:r>
          </w:p>
        </w:tc>
        <w:tc>
          <w:tcPr>
            <w:tcW w:type="dxa" w:w="1234"/>
          </w:tcPr>
          <w:p>
            <w:r>
              <w:rPr>
                <w:rFonts w:ascii="Calibri" w:hAnsi="Calibri"/>
                <w:sz w:val="22"/>
              </w:rPr>
              <w:t>$3.45B ± $0.10B</w:t>
            </w:r>
          </w:p>
        </w:tc>
        <w:tc>
          <w:tcPr>
            <w:tcW w:type="dxa" w:w="1234"/>
          </w:tcPr>
          <w:p>
            <w:r>
              <w:rPr>
                <w:rFonts w:ascii="Calibri" w:hAnsi="Calibri"/>
                <w:sz w:val="22"/>
              </w:rPr>
              <w:t>+1.5% above midpoint</w:t>
            </w:r>
          </w:p>
        </w:tc>
      </w:tr>
      <w:tr>
        <w:tc>
          <w:tcPr>
            <w:tcW w:type="dxa" w:w="1234"/>
          </w:tcPr>
          <w:p>
            <w:r>
              <w:rPr>
                <w:rFonts w:ascii="Calibri" w:hAnsi="Calibri"/>
                <w:sz w:val="22"/>
              </w:rPr>
              <w:t>Non-GAAP EPS (Diluted)</w:t>
            </w:r>
          </w:p>
        </w:tc>
        <w:tc>
          <w:tcPr>
            <w:tcW w:type="dxa" w:w="1234"/>
          </w:tcPr>
          <w:p>
            <w:r>
              <w:rPr>
                <w:rFonts w:ascii="Calibri" w:hAnsi="Calibri"/>
                <w:sz w:val="22"/>
              </w:rPr>
              <w:t>$4.10</w:t>
            </w:r>
          </w:p>
        </w:tc>
        <w:tc>
          <w:tcPr>
            <w:tcW w:type="dxa" w:w="1234"/>
          </w:tcPr>
          <w:p>
            <w:r>
              <w:rPr>
                <w:rFonts w:ascii="Calibri" w:hAnsi="Calibri"/>
                <w:sz w:val="22"/>
              </w:rPr>
              <w:t>$2.59</w:t>
            </w:r>
          </w:p>
        </w:tc>
        <w:tc>
          <w:tcPr>
            <w:tcW w:type="dxa" w:w="1234"/>
          </w:tcPr>
          <w:p>
            <w:r>
              <w:rPr>
                <w:rFonts w:ascii="Calibri" w:hAnsi="Calibri"/>
                <w:sz w:val="22"/>
              </w:rPr>
              <w:t>$5.12</w:t>
            </w:r>
          </w:p>
        </w:tc>
        <w:tc>
          <w:tcPr>
            <w:tcW w:type="dxa" w:w="1234"/>
          </w:tcPr>
          <w:p>
            <w:r>
              <w:rPr>
                <w:rFonts w:ascii="Calibri" w:hAnsi="Calibri"/>
                <w:b/>
                <w:color w:val="30A46C"/>
                <w:sz w:val="22"/>
              </w:rPr>
              <w:t>+97.8% YoY</w:t>
            </w:r>
          </w:p>
        </w:tc>
        <w:tc>
          <w:tcPr>
            <w:tcW w:type="dxa" w:w="1234"/>
          </w:tcPr>
          <w:p>
            <w:r>
              <w:rPr>
                <w:rFonts w:ascii="Calibri" w:hAnsi="Calibri"/>
                <w:sz w:val="22"/>
              </w:rPr>
              <w:t>$5.00 ± $0.20</w:t>
            </w:r>
          </w:p>
        </w:tc>
        <w:tc>
          <w:tcPr>
            <w:tcW w:type="dxa" w:w="1234"/>
          </w:tcPr>
          <w:p>
            <w:r>
              <w:rPr>
                <w:rFonts w:ascii="Calibri" w:hAnsi="Calibri"/>
                <w:sz w:val="22"/>
              </w:rPr>
              <w:t>+2.5% above midpoint</w:t>
            </w:r>
          </w:p>
        </w:tc>
      </w:tr>
      <w:tr>
        <w:tc>
          <w:tcPr>
            <w:tcW w:type="dxa" w:w="1234"/>
          </w:tcPr>
          <w:p>
            <w:r>
              <w:rPr>
                <w:rFonts w:ascii="Calibri" w:hAnsi="Calibri"/>
                <w:sz w:val="22"/>
              </w:rPr>
              <w:t>Non-GAAP Gross Profit ($B)</w:t>
            </w:r>
          </w:p>
        </w:tc>
        <w:tc>
          <w:tcPr>
            <w:tcW w:type="dxa" w:w="1234"/>
          </w:tcPr>
          <w:p>
            <w:r>
              <w:rPr>
                <w:rFonts w:ascii="Calibri" w:hAnsi="Calibri"/>
                <w:sz w:val="22"/>
              </w:rPr>
              <w:t>$1.463B</w:t>
            </w:r>
          </w:p>
        </w:tc>
        <w:tc>
          <w:tcPr>
            <w:tcW w:type="dxa" w:w="1234"/>
          </w:tcPr>
          <w:p>
            <w:r>
              <w:rPr>
                <w:rFonts w:ascii="Calibri" w:hAnsi="Calibri"/>
                <w:sz w:val="22"/>
              </w:rPr>
              <w:t>$0.926B</w:t>
            </w:r>
          </w:p>
        </w:tc>
        <w:tc>
          <w:tcPr>
            <w:tcW w:type="dxa" w:w="1234"/>
          </w:tcPr>
          <w:p>
            <w:r>
              <w:rPr>
                <w:rFonts w:ascii="Calibri" w:hAnsi="Calibri"/>
                <w:sz w:val="22"/>
              </w:rPr>
              <w:t>$1.771B</w:t>
            </w:r>
          </w:p>
        </w:tc>
        <w:tc>
          <w:tcPr>
            <w:tcW w:type="dxa" w:w="1234"/>
          </w:tcPr>
          <w:p>
            <w:r>
              <w:rPr>
                <w:rFonts w:ascii="Calibri" w:hAnsi="Calibri"/>
                <w:b/>
                <w:color w:val="30A46C"/>
                <w:sz w:val="22"/>
              </w:rPr>
              <w:t>+91.2% YoY</w:t>
            </w:r>
          </w:p>
        </w:tc>
        <w:tc>
          <w:tcPr>
            <w:tcW w:type="dxa" w:w="1234"/>
          </w:tcPr>
          <w:p>
            <w:r>
              <w:rPr>
                <w:rFonts w:ascii="Calibri" w:hAnsi="Calibri"/>
                <w:sz w:val="22"/>
              </w:rPr>
              <w:t>~50% gross margin guided</w:t>
            </w:r>
          </w:p>
        </w:tc>
        <w:tc>
          <w:tcPr>
            <w:tcW w:type="dxa" w:w="1234"/>
          </w:tcPr>
          <w:p>
            <w:r>
              <w:rPr>
                <w:rFonts w:ascii="Calibri" w:hAnsi="Calibri"/>
                <w:sz w:val="22"/>
              </w:rPr>
              <w:t>Implies ~$1.725B at midpoint; consensus +2.7% above</w:t>
            </w:r>
          </w:p>
        </w:tc>
      </w:tr>
      <w:tr>
        <w:tc>
          <w:tcPr>
            <w:tcW w:type="dxa" w:w="1234"/>
          </w:tcPr>
          <w:p>
            <w:r>
              <w:rPr>
                <w:rFonts w:ascii="Calibri" w:hAnsi="Calibri"/>
                <w:sz w:val="22"/>
              </w:rPr>
              <w:t>HDD Exabyte Shipments (EB)</w:t>
            </w:r>
          </w:p>
        </w:tc>
        <w:tc>
          <w:tcPr>
            <w:tcW w:type="dxa" w:w="1234"/>
          </w:tcPr>
          <w:p>
            <w:r>
              <w:rPr>
                <w:rFonts w:ascii="Calibri" w:hAnsi="Calibri"/>
                <w:sz w:val="22"/>
              </w:rPr>
              <w:t>199 EB</w:t>
            </w:r>
          </w:p>
        </w:tc>
        <w:tc>
          <w:tcPr>
            <w:tcW w:type="dxa" w:w="1234"/>
          </w:tcPr>
          <w:p>
            <w:r>
              <w:rPr>
                <w:rFonts w:ascii="Calibri" w:hAnsi="Calibri"/>
                <w:sz w:val="22"/>
              </w:rPr>
              <w:t>163 EB</w:t>
            </w:r>
          </w:p>
        </w:tc>
        <w:tc>
          <w:tcPr>
            <w:tcW w:type="dxa" w:w="1234"/>
          </w:tcPr>
          <w:p>
            <w:r>
              <w:rPr>
                <w:rFonts w:ascii="Calibri" w:hAnsi="Calibri"/>
                <w:sz w:val="22"/>
              </w:rPr>
              <w:t>214 EB</w:t>
            </w:r>
          </w:p>
        </w:tc>
        <w:tc>
          <w:tcPr>
            <w:tcW w:type="dxa" w:w="1234"/>
          </w:tcPr>
          <w:p>
            <w:r>
              <w:rPr>
                <w:rFonts w:ascii="Calibri" w:hAnsi="Calibri"/>
                <w:b/>
                <w:color w:val="30A46C"/>
                <w:sz w:val="22"/>
              </w:rPr>
              <w:t>+31.3% YoY</w:t>
            </w:r>
          </w:p>
        </w:tc>
        <w:tc>
          <w:tcPr>
            <w:tcW w:type="dxa" w:w="1234"/>
          </w:tcPr>
          <w:p>
            <w:r>
              <w:rPr>
                <w:rFonts w:ascii="Calibri" w:hAnsi="Calibri"/>
                <w:sz w:val="22"/>
              </w:rPr>
              <w:t>No specific guidance; mid-20s% growth target</w:t>
            </w:r>
          </w:p>
        </w:tc>
        <w:tc>
          <w:tcPr>
            <w:tcW w:type="dxa" w:w="1234"/>
          </w:tcPr>
          <w:p>
            <w:r>
              <w:rPr>
                <w:rFonts w:ascii="Calibri" w:hAnsi="Calibri"/>
                <w:sz w:val="22"/>
              </w:rPr>
              <w:t>N/A — no numeric guidance</w:t>
            </w:r>
          </w:p>
        </w:tc>
      </w:tr>
      <w:tr>
        <w:tc>
          <w:tcPr>
            <w:tcW w:type="dxa" w:w="1234"/>
          </w:tcPr>
          <w:p>
            <w:r>
              <w:rPr>
                <w:rFonts w:ascii="Calibri" w:hAnsi="Calibri"/>
                <w:sz w:val="22"/>
              </w:rPr>
              <w:t>HDD Price per TB ($)</w:t>
            </w:r>
          </w:p>
        </w:tc>
        <w:tc>
          <w:tcPr>
            <w:tcW w:type="dxa" w:w="1234"/>
          </w:tcPr>
          <w:p>
            <w:r>
              <w:rPr>
                <w:rFonts w:ascii="Calibri" w:hAnsi="Calibri"/>
                <w:sz w:val="22"/>
              </w:rPr>
              <w:t>$14.68/TB</w:t>
            </w:r>
          </w:p>
        </w:tc>
        <w:tc>
          <w:tcPr>
            <w:tcW w:type="dxa" w:w="1234"/>
          </w:tcPr>
          <w:p>
            <w:r>
              <w:rPr>
                <w:rFonts w:ascii="Calibri" w:hAnsi="Calibri"/>
                <w:sz w:val="22"/>
              </w:rPr>
              <w:t>$14.04/TB</w:t>
            </w:r>
          </w:p>
        </w:tc>
        <w:tc>
          <w:tcPr>
            <w:tcW w:type="dxa" w:w="1234"/>
          </w:tcPr>
          <w:p>
            <w:r>
              <w:rPr>
                <w:rFonts w:ascii="Calibri" w:hAnsi="Calibri"/>
                <w:sz w:val="22"/>
              </w:rPr>
              <w:t>$15.43/TB</w:t>
            </w:r>
          </w:p>
        </w:tc>
        <w:tc>
          <w:tcPr>
            <w:tcW w:type="dxa" w:w="1234"/>
          </w:tcPr>
          <w:p>
            <w:r>
              <w:rPr>
                <w:rFonts w:ascii="Calibri" w:hAnsi="Calibri"/>
                <w:b/>
                <w:color w:val="30A46C"/>
                <w:sz w:val="22"/>
              </w:rPr>
              <w:t>+9.9% YoY</w:t>
            </w:r>
          </w:p>
        </w:tc>
        <w:tc>
          <w:tcPr>
            <w:tcW w:type="dxa" w:w="1234"/>
          </w:tcPr>
          <w:p>
            <w:r>
              <w:rPr>
                <w:rFonts w:ascii="Calibri" w:hAnsi="Calibri"/>
                <w:sz w:val="22"/>
              </w:rPr>
              <w:t>Consistent sequential increases guided</w:t>
            </w:r>
          </w:p>
        </w:tc>
        <w:tc>
          <w:tcPr>
            <w:tcW w:type="dxa" w:w="1234"/>
          </w:tcPr>
          <w:p>
            <w:r>
              <w:rPr>
                <w:rFonts w:ascii="Calibri" w:hAnsi="Calibri"/>
                <w:sz w:val="22"/>
              </w:rPr>
              <w:t>N/A — no numeric guidance</w:t>
            </w:r>
          </w:p>
        </w:tc>
      </w:tr>
      <w:tr>
        <w:tc>
          <w:tcPr>
            <w:tcW w:type="dxa" w:w="1234"/>
          </w:tcPr>
          <w:p>
            <w:r>
              <w:rPr>
                <w:rFonts w:ascii="Calibri" w:hAnsi="Calibri"/>
                <w:sz w:val="22"/>
              </w:rPr>
              <w:t>Non-GAAP Operating Income ($B)</w:t>
            </w:r>
          </w:p>
        </w:tc>
        <w:tc>
          <w:tcPr>
            <w:tcW w:type="dxa" w:w="1234"/>
          </w:tcPr>
          <w:p>
            <w:r>
              <w:rPr>
                <w:rFonts w:ascii="Calibri" w:hAnsi="Calibri"/>
                <w:sz w:val="22"/>
              </w:rPr>
              <w:t>$1.167B</w:t>
            </w:r>
          </w:p>
        </w:tc>
        <w:tc>
          <w:tcPr>
            <w:tcW w:type="dxa" w:w="1234"/>
          </w:tcPr>
          <w:p>
            <w:r>
              <w:rPr>
                <w:rFonts w:ascii="Calibri" w:hAnsi="Calibri"/>
                <w:sz w:val="22"/>
              </w:rPr>
              <w:t>$0.640B</w:t>
            </w:r>
          </w:p>
        </w:tc>
        <w:tc>
          <w:tcPr>
            <w:tcW w:type="dxa" w:w="1234"/>
          </w:tcPr>
          <w:p>
            <w:r>
              <w:rPr>
                <w:rFonts w:ascii="Calibri" w:hAnsi="Calibri"/>
                <w:sz w:val="22"/>
              </w:rPr>
              <w:t>$1.474B</w:t>
            </w:r>
          </w:p>
        </w:tc>
        <w:tc>
          <w:tcPr>
            <w:tcW w:type="dxa" w:w="1234"/>
          </w:tcPr>
          <w:p>
            <w:r>
              <w:rPr>
                <w:rFonts w:ascii="Calibri" w:hAnsi="Calibri"/>
                <w:b/>
                <w:color w:val="30A46C"/>
                <w:sz w:val="22"/>
              </w:rPr>
              <w:t>+130.3% YoY</w:t>
            </w:r>
          </w:p>
        </w:tc>
        <w:tc>
          <w:tcPr>
            <w:tcW w:type="dxa" w:w="1234"/>
          </w:tcPr>
          <w:p>
            <w:r>
              <w:rPr>
                <w:rFonts w:ascii="Calibri" w:hAnsi="Calibri"/>
                <w:sz w:val="22"/>
              </w:rPr>
              <w:t>Lower 40% operating margin range guided</w:t>
            </w:r>
          </w:p>
        </w:tc>
        <w:tc>
          <w:tcPr>
            <w:tcW w:type="dxa" w:w="1234"/>
          </w:tcPr>
          <w:p>
            <w:r>
              <w:rPr>
                <w:rFonts w:ascii="Calibri" w:hAnsi="Calibri"/>
                <w:sz w:val="22"/>
              </w:rPr>
              <w:t>Implies ~$1.415B at midpoint; consensus +4.2% above</w:t>
            </w:r>
          </w:p>
        </w:tc>
      </w:tr>
      <w:tr>
        <w:tc>
          <w:tcPr>
            <w:tcW w:type="dxa" w:w="1234"/>
          </w:tcPr>
          <w:p>
            <w:r>
              <w:rPr>
                <w:rFonts w:ascii="Calibri" w:hAnsi="Calibri"/>
                <w:sz w:val="22"/>
              </w:rPr>
              <w:t>Free Cash Flow ($B)</w:t>
            </w:r>
          </w:p>
        </w:tc>
        <w:tc>
          <w:tcPr>
            <w:tcW w:type="dxa" w:w="1234"/>
          </w:tcPr>
          <w:p>
            <w:r>
              <w:rPr>
                <w:rFonts w:ascii="Calibri" w:hAnsi="Calibri"/>
                <w:sz w:val="22"/>
              </w:rPr>
              <w:t>$0.953B</w:t>
            </w:r>
          </w:p>
        </w:tc>
        <w:tc>
          <w:tcPr>
            <w:tcW w:type="dxa" w:w="1234"/>
          </w:tcPr>
          <w:p>
            <w:r>
              <w:rPr>
                <w:rFonts w:ascii="Calibri" w:hAnsi="Calibri"/>
                <w:sz w:val="22"/>
              </w:rPr>
              <w:t>$0.425B</w:t>
            </w:r>
          </w:p>
        </w:tc>
        <w:tc>
          <w:tcPr>
            <w:tcW w:type="dxa" w:w="1234"/>
          </w:tcPr>
          <w:p>
            <w:r>
              <w:rPr>
                <w:rFonts w:ascii="Calibri" w:hAnsi="Calibri"/>
                <w:sz w:val="22"/>
              </w:rPr>
              <w:t>$0.975B</w:t>
            </w:r>
          </w:p>
        </w:tc>
        <w:tc>
          <w:tcPr>
            <w:tcW w:type="dxa" w:w="1234"/>
          </w:tcPr>
          <w:p>
            <w:r>
              <w:rPr>
                <w:rFonts w:ascii="Calibri" w:hAnsi="Calibri"/>
                <w:b/>
                <w:color w:val="30A46C"/>
                <w:sz w:val="22"/>
              </w:rPr>
              <w:t>+129.4% YoY</w:t>
            </w:r>
          </w:p>
        </w:tc>
        <w:tc>
          <w:tcPr>
            <w:tcW w:type="dxa" w:w="1234"/>
          </w:tcPr>
          <w:p>
            <w:r>
              <w:rPr>
                <w:rFonts w:ascii="Calibri" w:hAnsi="Calibri"/>
                <w:sz w:val="22"/>
              </w:rPr>
              <w:t>FCF expected to improve further through calendar 2026</w:t>
            </w:r>
          </w:p>
        </w:tc>
        <w:tc>
          <w:tcPr>
            <w:tcW w:type="dxa" w:w="1234"/>
          </w:tcPr>
          <w:p>
            <w:r>
              <w:rPr>
                <w:rFonts w:ascii="Calibri" w:hAnsi="Calibri"/>
                <w:sz w:val="22"/>
              </w:rPr>
              <w:t>N/A — no numeric guidance</w:t>
            </w:r>
          </w:p>
        </w:tc>
      </w:tr>
    </w:tbl>
    <w:p>
      <w:r>
        <w:rPr>
          <w:rFonts w:ascii="Calibri" w:hAnsi="Calibri"/>
          <w:i/>
          <w:color w:val="525866"/>
          <w:sz w:val="22"/>
        </w:rPr>
        <w:t>Source: Visible Alpha Consensus and Actuals Data. Q4 FY2026 guidance from STX Q3 FY2026 Earnings Call (April 28, 2026). Gross margin guidance of ~50% from management; operating margin guidance of lower 40% range; EPS guidance of $5.00 ± $0.20; revenue guidance of $3.45B ± $0.10B.</w:t>
      </w:r>
    </w:p>
    <w:p>
      <w:pPr>
        <w:pStyle w:val="Heading3"/>
      </w:pPr>
      <w:r>
        <w:rPr>
          <w:rFonts w:ascii="Calibri" w:hAnsi="Calibri"/>
          <w:b/>
          <w:color w:val="3B4259"/>
          <w:sz w:val="24"/>
        </w:rPr>
        <w:t>Table 2 — Beat/Miss History (Last 8 Quarters, Top 2 KPIs: Revenue &amp; Non-GAAP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Quarter</w:t>
            </w:r>
          </w:p>
        </w:tc>
        <w:tc>
          <w:tcPr>
            <w:tcW w:type="dxa" w:w="1080"/>
          </w:tcPr>
          <w:p>
            <w:r>
              <w:rPr>
                <w:rFonts w:ascii="Calibri" w:hAnsi="Calibri"/>
                <w:b/>
                <w:sz w:val="22"/>
              </w:rPr>
              <w:t>Revenue Reported ($B)</w:t>
            </w:r>
          </w:p>
        </w:tc>
        <w:tc>
          <w:tcPr>
            <w:tcW w:type="dxa" w:w="1080"/>
          </w:tcPr>
          <w:p>
            <w:r>
              <w:rPr>
                <w:rFonts w:ascii="Calibri" w:hAnsi="Calibri"/>
                <w:b/>
                <w:sz w:val="22"/>
              </w:rPr>
              <w:t>Revenue Consensus ($B)</w:t>
            </w:r>
          </w:p>
        </w:tc>
        <w:tc>
          <w:tcPr>
            <w:tcW w:type="dxa" w:w="1080"/>
          </w:tcPr>
          <w:p>
            <w:r>
              <w:rPr>
                <w:rFonts w:ascii="Calibri" w:hAnsi="Calibri"/>
                <w:b/>
                <w:sz w:val="22"/>
              </w:rPr>
              <w:t>Rev Surprise %</w:t>
            </w:r>
          </w:p>
        </w:tc>
        <w:tc>
          <w:tcPr>
            <w:tcW w:type="dxa" w:w="1080"/>
          </w:tcPr>
          <w:p>
            <w:r>
              <w:rPr>
                <w:rFonts w:ascii="Calibri" w:hAnsi="Calibri"/>
                <w:b/>
                <w:sz w:val="22"/>
              </w:rPr>
              <w:t>EPS Reported</w:t>
            </w:r>
          </w:p>
        </w:tc>
        <w:tc>
          <w:tcPr>
            <w:tcW w:type="dxa" w:w="1080"/>
          </w:tcPr>
          <w:p>
            <w:r>
              <w:rPr>
                <w:rFonts w:ascii="Calibri" w:hAnsi="Calibri"/>
                <w:b/>
                <w:sz w:val="22"/>
              </w:rPr>
              <w:t>EPS Consensus</w:t>
            </w:r>
          </w:p>
        </w:tc>
        <w:tc>
          <w:tcPr>
            <w:tcW w:type="dxa" w:w="1080"/>
          </w:tcPr>
          <w:p>
            <w:r>
              <w:rPr>
                <w:rFonts w:ascii="Calibri" w:hAnsi="Calibri"/>
                <w:b/>
                <w:sz w:val="22"/>
              </w:rPr>
              <w:t>EPS Surprise %</w:t>
            </w:r>
          </w:p>
        </w:tc>
        <w:tc>
          <w:tcPr>
            <w:tcW w:type="dxa" w:w="1080"/>
          </w:tcPr>
          <w:p>
            <w:r>
              <w:rPr>
                <w:rFonts w:ascii="Calibri" w:hAnsi="Calibri"/>
                <w:b/>
                <w:sz w:val="22"/>
              </w:rPr>
              <w:t>Result</w:t>
            </w:r>
          </w:p>
        </w:tc>
      </w:tr>
      <w:tr>
        <w:tc>
          <w:tcPr>
            <w:tcW w:type="dxa" w:w="1080"/>
          </w:tcPr>
          <w:p>
            <w:r>
              <w:rPr>
                <w:rFonts w:ascii="Calibri" w:hAnsi="Calibri"/>
                <w:sz w:val="22"/>
              </w:rPr>
              <w:t>Q3 FY2026 (Apr 2026)</w:t>
            </w:r>
          </w:p>
        </w:tc>
        <w:tc>
          <w:tcPr>
            <w:tcW w:type="dxa" w:w="1080"/>
          </w:tcPr>
          <w:p>
            <w:r>
              <w:rPr>
                <w:rFonts w:ascii="Calibri" w:hAnsi="Calibri"/>
                <w:sz w:val="22"/>
              </w:rPr>
              <w:t>$3.112B</w:t>
            </w:r>
          </w:p>
        </w:tc>
        <w:tc>
          <w:tcPr>
            <w:tcW w:type="dxa" w:w="1080"/>
          </w:tcPr>
          <w:p>
            <w:r>
              <w:rPr>
                <w:rFonts w:ascii="Calibri" w:hAnsi="Calibri"/>
                <w:sz w:val="22"/>
              </w:rPr>
              <w:t>$2.950B</w:t>
            </w:r>
          </w:p>
        </w:tc>
        <w:tc>
          <w:tcPr>
            <w:tcW w:type="dxa" w:w="1080"/>
          </w:tcPr>
          <w:p>
            <w:r>
              <w:rPr>
                <w:rFonts w:ascii="Calibri" w:hAnsi="Calibri"/>
                <w:b/>
                <w:color w:val="30A46C"/>
                <w:sz w:val="22"/>
              </w:rPr>
              <w:t>+5.5%</w:t>
            </w:r>
          </w:p>
        </w:tc>
        <w:tc>
          <w:tcPr>
            <w:tcW w:type="dxa" w:w="1080"/>
          </w:tcPr>
          <w:p>
            <w:r>
              <w:rPr>
                <w:rFonts w:ascii="Calibri" w:hAnsi="Calibri"/>
                <w:sz w:val="22"/>
              </w:rPr>
              <w:t>$4.10</w:t>
            </w:r>
          </w:p>
        </w:tc>
        <w:tc>
          <w:tcPr>
            <w:tcW w:type="dxa" w:w="1080"/>
          </w:tcPr>
          <w:p>
            <w:r>
              <w:rPr>
                <w:rFonts w:ascii="Calibri" w:hAnsi="Calibri"/>
                <w:sz w:val="22"/>
              </w:rPr>
              <w:t>$3.51</w:t>
            </w:r>
          </w:p>
        </w:tc>
        <w:tc>
          <w:tcPr>
            <w:tcW w:type="dxa" w:w="1080"/>
          </w:tcPr>
          <w:p>
            <w:r>
              <w:rPr>
                <w:rFonts w:ascii="Calibri" w:hAnsi="Calibri"/>
                <w:b/>
                <w:color w:val="30A46C"/>
                <w:sz w:val="22"/>
              </w:rPr>
              <w:t>+16.8%</w:t>
            </w:r>
          </w:p>
        </w:tc>
        <w:tc>
          <w:tcPr>
            <w:tcW w:type="dxa" w:w="1080"/>
          </w:tcPr>
          <w:p>
            <w:r>
              <w:rPr>
                <w:rFonts w:ascii="Calibri" w:hAnsi="Calibri"/>
                <w:b/>
                <w:color w:val="30A46C"/>
                <w:sz w:val="22"/>
              </w:rPr>
              <w:t>Beat</w:t>
            </w:r>
          </w:p>
        </w:tc>
      </w:tr>
      <w:tr>
        <w:tc>
          <w:tcPr>
            <w:tcW w:type="dxa" w:w="1080"/>
          </w:tcPr>
          <w:p>
            <w:r>
              <w:rPr>
                <w:rFonts w:ascii="Calibri" w:hAnsi="Calibri"/>
                <w:sz w:val="22"/>
              </w:rPr>
              <w:t>Q2 FY2026 (Jan 2026)</w:t>
            </w:r>
          </w:p>
        </w:tc>
        <w:tc>
          <w:tcPr>
            <w:tcW w:type="dxa" w:w="1080"/>
          </w:tcPr>
          <w:p>
            <w:r>
              <w:rPr>
                <w:rFonts w:ascii="Calibri" w:hAnsi="Calibri"/>
                <w:sz w:val="22"/>
              </w:rPr>
              <w:t>$2.825B</w:t>
            </w:r>
          </w:p>
        </w:tc>
        <w:tc>
          <w:tcPr>
            <w:tcW w:type="dxa" w:w="1080"/>
          </w:tcPr>
          <w:p>
            <w:r>
              <w:rPr>
                <w:rFonts w:ascii="Calibri" w:hAnsi="Calibri"/>
                <w:sz w:val="22"/>
              </w:rPr>
              <w:t>$2.753B</w:t>
            </w:r>
          </w:p>
        </w:tc>
        <w:tc>
          <w:tcPr>
            <w:tcW w:type="dxa" w:w="1080"/>
          </w:tcPr>
          <w:p>
            <w:r>
              <w:rPr>
                <w:rFonts w:ascii="Calibri" w:hAnsi="Calibri"/>
                <w:b/>
                <w:color w:val="30A46C"/>
                <w:sz w:val="22"/>
              </w:rPr>
              <w:t>+2.6%</w:t>
            </w:r>
          </w:p>
        </w:tc>
        <w:tc>
          <w:tcPr>
            <w:tcW w:type="dxa" w:w="1080"/>
          </w:tcPr>
          <w:p>
            <w:r>
              <w:rPr>
                <w:rFonts w:ascii="Calibri" w:hAnsi="Calibri"/>
                <w:sz w:val="22"/>
              </w:rPr>
              <w:t>$3.11</w:t>
            </w:r>
          </w:p>
        </w:tc>
        <w:tc>
          <w:tcPr>
            <w:tcW w:type="dxa" w:w="1080"/>
          </w:tcPr>
          <w:p>
            <w:r>
              <w:rPr>
                <w:rFonts w:ascii="Calibri" w:hAnsi="Calibri"/>
                <w:sz w:val="22"/>
              </w:rPr>
              <w:t>$2.84</w:t>
            </w:r>
          </w:p>
        </w:tc>
        <w:tc>
          <w:tcPr>
            <w:tcW w:type="dxa" w:w="1080"/>
          </w:tcPr>
          <w:p>
            <w:r>
              <w:rPr>
                <w:rFonts w:ascii="Calibri" w:hAnsi="Calibri"/>
                <w:b/>
                <w:color w:val="30A46C"/>
                <w:sz w:val="22"/>
              </w:rPr>
              <w:t>+9.5%</w:t>
            </w:r>
          </w:p>
        </w:tc>
        <w:tc>
          <w:tcPr>
            <w:tcW w:type="dxa" w:w="1080"/>
          </w:tcPr>
          <w:p>
            <w:r>
              <w:rPr>
                <w:rFonts w:ascii="Calibri" w:hAnsi="Calibri"/>
                <w:b/>
                <w:color w:val="30A46C"/>
                <w:sz w:val="22"/>
              </w:rPr>
              <w:t>Beat</w:t>
            </w:r>
          </w:p>
        </w:tc>
      </w:tr>
      <w:tr>
        <w:tc>
          <w:tcPr>
            <w:tcW w:type="dxa" w:w="1080"/>
          </w:tcPr>
          <w:p>
            <w:r>
              <w:rPr>
                <w:rFonts w:ascii="Calibri" w:hAnsi="Calibri"/>
                <w:sz w:val="22"/>
              </w:rPr>
              <w:t>Q1 FY2026 (Oct 2025)</w:t>
            </w:r>
          </w:p>
        </w:tc>
        <w:tc>
          <w:tcPr>
            <w:tcW w:type="dxa" w:w="1080"/>
          </w:tcPr>
          <w:p>
            <w:r>
              <w:rPr>
                <w:rFonts w:ascii="Calibri" w:hAnsi="Calibri"/>
                <w:sz w:val="22"/>
              </w:rPr>
              <w:t>$2.629B</w:t>
            </w:r>
          </w:p>
        </w:tc>
        <w:tc>
          <w:tcPr>
            <w:tcW w:type="dxa" w:w="1080"/>
          </w:tcPr>
          <w:p>
            <w:r>
              <w:rPr>
                <w:rFonts w:ascii="Calibri" w:hAnsi="Calibri"/>
                <w:sz w:val="22"/>
              </w:rPr>
              <w:t>$2.551B</w:t>
            </w:r>
          </w:p>
        </w:tc>
        <w:tc>
          <w:tcPr>
            <w:tcW w:type="dxa" w:w="1080"/>
          </w:tcPr>
          <w:p>
            <w:r>
              <w:rPr>
                <w:rFonts w:ascii="Calibri" w:hAnsi="Calibri"/>
                <w:b/>
                <w:color w:val="30A46C"/>
                <w:sz w:val="22"/>
              </w:rPr>
              <w:t>+3.1%</w:t>
            </w:r>
          </w:p>
        </w:tc>
        <w:tc>
          <w:tcPr>
            <w:tcW w:type="dxa" w:w="1080"/>
          </w:tcPr>
          <w:p>
            <w:r>
              <w:rPr>
                <w:rFonts w:ascii="Calibri" w:hAnsi="Calibri"/>
                <w:sz w:val="22"/>
              </w:rPr>
              <w:t>$2.61</w:t>
            </w:r>
          </w:p>
        </w:tc>
        <w:tc>
          <w:tcPr>
            <w:tcW w:type="dxa" w:w="1080"/>
          </w:tcPr>
          <w:p>
            <w:r>
              <w:rPr>
                <w:rFonts w:ascii="Calibri" w:hAnsi="Calibri"/>
                <w:sz w:val="22"/>
              </w:rPr>
              <w:t>$2.39</w:t>
            </w:r>
          </w:p>
        </w:tc>
        <w:tc>
          <w:tcPr>
            <w:tcW w:type="dxa" w:w="1080"/>
          </w:tcPr>
          <w:p>
            <w:r>
              <w:rPr>
                <w:rFonts w:ascii="Calibri" w:hAnsi="Calibri"/>
                <w:b/>
                <w:color w:val="30A46C"/>
                <w:sz w:val="22"/>
              </w:rPr>
              <w:t>+9.2%</w:t>
            </w:r>
          </w:p>
        </w:tc>
        <w:tc>
          <w:tcPr>
            <w:tcW w:type="dxa" w:w="1080"/>
          </w:tcPr>
          <w:p>
            <w:r>
              <w:rPr>
                <w:rFonts w:ascii="Calibri" w:hAnsi="Calibri"/>
                <w:b/>
                <w:color w:val="30A46C"/>
                <w:sz w:val="22"/>
              </w:rPr>
              <w:t>Beat</w:t>
            </w:r>
          </w:p>
        </w:tc>
      </w:tr>
      <w:tr>
        <w:tc>
          <w:tcPr>
            <w:tcW w:type="dxa" w:w="1080"/>
          </w:tcPr>
          <w:p>
            <w:r>
              <w:rPr>
                <w:rFonts w:ascii="Calibri" w:hAnsi="Calibri"/>
                <w:sz w:val="22"/>
              </w:rPr>
              <w:t>Q4 FY2025 (Jun 2025)</w:t>
            </w:r>
          </w:p>
        </w:tc>
        <w:tc>
          <w:tcPr>
            <w:tcW w:type="dxa" w:w="1080"/>
          </w:tcPr>
          <w:p>
            <w:r>
              <w:rPr>
                <w:rFonts w:ascii="Calibri" w:hAnsi="Calibri"/>
                <w:sz w:val="22"/>
              </w:rPr>
              <w:t>$2.444B</w:t>
            </w:r>
          </w:p>
        </w:tc>
        <w:tc>
          <w:tcPr>
            <w:tcW w:type="dxa" w:w="1080"/>
          </w:tcPr>
          <w:p>
            <w:r>
              <w:rPr>
                <w:rFonts w:ascii="Calibri" w:hAnsi="Calibri"/>
                <w:sz w:val="22"/>
              </w:rPr>
              <w:t>$2.429B</w:t>
            </w:r>
          </w:p>
        </w:tc>
        <w:tc>
          <w:tcPr>
            <w:tcW w:type="dxa" w:w="1080"/>
          </w:tcPr>
          <w:p>
            <w:r>
              <w:rPr>
                <w:rFonts w:ascii="Calibri" w:hAnsi="Calibri"/>
                <w:b/>
                <w:color w:val="30A46C"/>
                <w:sz w:val="22"/>
              </w:rPr>
              <w:t>+0.6%</w:t>
            </w:r>
          </w:p>
        </w:tc>
        <w:tc>
          <w:tcPr>
            <w:tcW w:type="dxa" w:w="1080"/>
          </w:tcPr>
          <w:p>
            <w:r>
              <w:rPr>
                <w:rFonts w:ascii="Calibri" w:hAnsi="Calibri"/>
                <w:sz w:val="22"/>
              </w:rPr>
              <w:t>$2.59</w:t>
            </w:r>
          </w:p>
        </w:tc>
        <w:tc>
          <w:tcPr>
            <w:tcW w:type="dxa" w:w="1080"/>
          </w:tcPr>
          <w:p>
            <w:r>
              <w:rPr>
                <w:rFonts w:ascii="Calibri" w:hAnsi="Calibri"/>
                <w:sz w:val="22"/>
              </w:rPr>
              <w:t>$2.47</w:t>
            </w:r>
          </w:p>
        </w:tc>
        <w:tc>
          <w:tcPr>
            <w:tcW w:type="dxa" w:w="1080"/>
          </w:tcPr>
          <w:p>
            <w:r>
              <w:rPr>
                <w:rFonts w:ascii="Calibri" w:hAnsi="Calibri"/>
                <w:b/>
                <w:color w:val="30A46C"/>
                <w:sz w:val="22"/>
              </w:rPr>
              <w:t>+4.9%</w:t>
            </w:r>
          </w:p>
        </w:tc>
        <w:tc>
          <w:tcPr>
            <w:tcW w:type="dxa" w:w="1080"/>
          </w:tcPr>
          <w:p>
            <w:r>
              <w:rPr>
                <w:rFonts w:ascii="Calibri" w:hAnsi="Calibri"/>
                <w:b/>
                <w:color w:val="30A46C"/>
                <w:sz w:val="22"/>
              </w:rPr>
              <w:t>Beat</w:t>
            </w:r>
          </w:p>
        </w:tc>
      </w:tr>
      <w:tr>
        <w:tc>
          <w:tcPr>
            <w:tcW w:type="dxa" w:w="1080"/>
          </w:tcPr>
          <w:p>
            <w:r>
              <w:rPr>
                <w:rFonts w:ascii="Calibri" w:hAnsi="Calibri"/>
                <w:sz w:val="22"/>
              </w:rPr>
              <w:t>Q3 FY2025 (Mar 2025)</w:t>
            </w:r>
          </w:p>
        </w:tc>
        <w:tc>
          <w:tcPr>
            <w:tcW w:type="dxa" w:w="1080"/>
          </w:tcPr>
          <w:p>
            <w:r>
              <w:rPr>
                <w:rFonts w:ascii="Calibri" w:hAnsi="Calibri"/>
                <w:sz w:val="22"/>
              </w:rPr>
              <w:t>$2.160B</w:t>
            </w:r>
          </w:p>
        </w:tc>
        <w:tc>
          <w:tcPr>
            <w:tcW w:type="dxa" w:w="1080"/>
          </w:tcPr>
          <w:p>
            <w:r>
              <w:rPr>
                <w:rFonts w:ascii="Calibri" w:hAnsi="Calibri"/>
                <w:sz w:val="22"/>
              </w:rPr>
              <w:t>$2.142B</w:t>
            </w:r>
          </w:p>
        </w:tc>
        <w:tc>
          <w:tcPr>
            <w:tcW w:type="dxa" w:w="1080"/>
          </w:tcPr>
          <w:p>
            <w:r>
              <w:rPr>
                <w:rFonts w:ascii="Calibri" w:hAnsi="Calibri"/>
                <w:b/>
                <w:color w:val="30A46C"/>
                <w:sz w:val="22"/>
              </w:rPr>
              <w:t>+0.8%</w:t>
            </w:r>
          </w:p>
        </w:tc>
        <w:tc>
          <w:tcPr>
            <w:tcW w:type="dxa" w:w="1080"/>
          </w:tcPr>
          <w:p>
            <w:r>
              <w:rPr>
                <w:rFonts w:ascii="Calibri" w:hAnsi="Calibri"/>
                <w:sz w:val="22"/>
              </w:rPr>
              <w:t>$1.90</w:t>
            </w:r>
          </w:p>
        </w:tc>
        <w:tc>
          <w:tcPr>
            <w:tcW w:type="dxa" w:w="1080"/>
          </w:tcPr>
          <w:p>
            <w:r>
              <w:rPr>
                <w:rFonts w:ascii="Calibri" w:hAnsi="Calibri"/>
                <w:sz w:val="22"/>
              </w:rPr>
              <w:t>$1.78</w:t>
            </w:r>
          </w:p>
        </w:tc>
        <w:tc>
          <w:tcPr>
            <w:tcW w:type="dxa" w:w="1080"/>
          </w:tcPr>
          <w:p>
            <w:r>
              <w:rPr>
                <w:rFonts w:ascii="Calibri" w:hAnsi="Calibri"/>
                <w:b/>
                <w:color w:val="30A46C"/>
                <w:sz w:val="22"/>
              </w:rPr>
              <w:t>+6.7%</w:t>
            </w:r>
          </w:p>
        </w:tc>
        <w:tc>
          <w:tcPr>
            <w:tcW w:type="dxa" w:w="1080"/>
          </w:tcPr>
          <w:p>
            <w:r>
              <w:rPr>
                <w:rFonts w:ascii="Calibri" w:hAnsi="Calibri"/>
                <w:b/>
                <w:color w:val="30A46C"/>
                <w:sz w:val="22"/>
              </w:rPr>
              <w:t>Beat</w:t>
            </w:r>
          </w:p>
        </w:tc>
      </w:tr>
      <w:tr>
        <w:tc>
          <w:tcPr>
            <w:tcW w:type="dxa" w:w="1080"/>
          </w:tcPr>
          <w:p>
            <w:r>
              <w:rPr>
                <w:rFonts w:ascii="Calibri" w:hAnsi="Calibri"/>
                <w:sz w:val="22"/>
              </w:rPr>
              <w:t>Q2 FY2025 (Dec 2024)</w:t>
            </w:r>
          </w:p>
        </w:tc>
        <w:tc>
          <w:tcPr>
            <w:tcW w:type="dxa" w:w="1080"/>
          </w:tcPr>
          <w:p>
            <w:r>
              <w:rPr>
                <w:rFonts w:ascii="Calibri" w:hAnsi="Calibri"/>
                <w:sz w:val="22"/>
              </w:rPr>
              <w:t>$2.325B</w:t>
            </w:r>
          </w:p>
        </w:tc>
        <w:tc>
          <w:tcPr>
            <w:tcW w:type="dxa" w:w="1080"/>
          </w:tcPr>
          <w:p>
            <w:r>
              <w:rPr>
                <w:rFonts w:ascii="Calibri" w:hAnsi="Calibri"/>
                <w:sz w:val="22"/>
              </w:rPr>
              <w:t>$2.318B</w:t>
            </w:r>
          </w:p>
        </w:tc>
        <w:tc>
          <w:tcPr>
            <w:tcW w:type="dxa" w:w="1080"/>
          </w:tcPr>
          <w:p>
            <w:r>
              <w:rPr>
                <w:rFonts w:ascii="Calibri" w:hAnsi="Calibri"/>
                <w:b/>
                <w:color w:val="30A46C"/>
                <w:sz w:val="22"/>
              </w:rPr>
              <w:t>+0.3%</w:t>
            </w:r>
          </w:p>
        </w:tc>
        <w:tc>
          <w:tcPr>
            <w:tcW w:type="dxa" w:w="1080"/>
          </w:tcPr>
          <w:p>
            <w:r>
              <w:rPr>
                <w:rFonts w:ascii="Calibri" w:hAnsi="Calibri"/>
                <w:sz w:val="22"/>
              </w:rPr>
              <w:t>$2.03</w:t>
            </w:r>
          </w:p>
        </w:tc>
        <w:tc>
          <w:tcPr>
            <w:tcW w:type="dxa" w:w="1080"/>
          </w:tcPr>
          <w:p>
            <w:r>
              <w:rPr>
                <w:rFonts w:ascii="Calibri" w:hAnsi="Calibri"/>
                <w:sz w:val="22"/>
              </w:rPr>
              <w:t>$1.87</w:t>
            </w:r>
          </w:p>
        </w:tc>
        <w:tc>
          <w:tcPr>
            <w:tcW w:type="dxa" w:w="1080"/>
          </w:tcPr>
          <w:p>
            <w:r>
              <w:rPr>
                <w:rFonts w:ascii="Calibri" w:hAnsi="Calibri"/>
                <w:b/>
                <w:color w:val="30A46C"/>
                <w:sz w:val="22"/>
              </w:rPr>
              <w:t>+8.6%</w:t>
            </w:r>
          </w:p>
        </w:tc>
        <w:tc>
          <w:tcPr>
            <w:tcW w:type="dxa" w:w="1080"/>
          </w:tcPr>
          <w:p>
            <w:r>
              <w:rPr>
                <w:rFonts w:ascii="Calibri" w:hAnsi="Calibri"/>
                <w:b/>
                <w:color w:val="30A46C"/>
                <w:sz w:val="22"/>
              </w:rPr>
              <w:t>Beat</w:t>
            </w:r>
          </w:p>
        </w:tc>
      </w:tr>
      <w:tr>
        <w:tc>
          <w:tcPr>
            <w:tcW w:type="dxa" w:w="1080"/>
          </w:tcPr>
          <w:p>
            <w:r>
              <w:rPr>
                <w:rFonts w:ascii="Calibri" w:hAnsi="Calibri"/>
                <w:sz w:val="22"/>
              </w:rPr>
              <w:t>Q1 FY2025 (Sep 2024)</w:t>
            </w:r>
          </w:p>
        </w:tc>
        <w:tc>
          <w:tcPr>
            <w:tcW w:type="dxa" w:w="1080"/>
          </w:tcPr>
          <w:p>
            <w:r>
              <w:rPr>
                <w:rFonts w:ascii="Calibri" w:hAnsi="Calibri"/>
                <w:sz w:val="22"/>
              </w:rPr>
              <w:t>$2.168B</w:t>
            </w:r>
          </w:p>
        </w:tc>
        <w:tc>
          <w:tcPr>
            <w:tcW w:type="dxa" w:w="1080"/>
          </w:tcPr>
          <w:p>
            <w:r>
              <w:rPr>
                <w:rFonts w:ascii="Calibri" w:hAnsi="Calibri"/>
                <w:sz w:val="22"/>
              </w:rPr>
              <w:t>$2.133B</w:t>
            </w:r>
          </w:p>
        </w:tc>
        <w:tc>
          <w:tcPr>
            <w:tcW w:type="dxa" w:w="1080"/>
          </w:tcPr>
          <w:p>
            <w:r>
              <w:rPr>
                <w:rFonts w:ascii="Calibri" w:hAnsi="Calibri"/>
                <w:b/>
                <w:color w:val="30A46C"/>
                <w:sz w:val="22"/>
              </w:rPr>
              <w:t>+1.6%</w:t>
            </w:r>
          </w:p>
        </w:tc>
        <w:tc>
          <w:tcPr>
            <w:tcW w:type="dxa" w:w="1080"/>
          </w:tcPr>
          <w:p>
            <w:r>
              <w:rPr>
                <w:rFonts w:ascii="Calibri" w:hAnsi="Calibri"/>
                <w:sz w:val="22"/>
              </w:rPr>
              <w:t>$1.56</w:t>
            </w:r>
          </w:p>
        </w:tc>
        <w:tc>
          <w:tcPr>
            <w:tcW w:type="dxa" w:w="1080"/>
          </w:tcPr>
          <w:p>
            <w:r>
              <w:rPr>
                <w:rFonts w:ascii="Calibri" w:hAnsi="Calibri"/>
                <w:sz w:val="22"/>
              </w:rPr>
              <w:t>$1.47</w:t>
            </w:r>
          </w:p>
        </w:tc>
        <w:tc>
          <w:tcPr>
            <w:tcW w:type="dxa" w:w="1080"/>
          </w:tcPr>
          <w:p>
            <w:r>
              <w:rPr>
                <w:rFonts w:ascii="Calibri" w:hAnsi="Calibri"/>
                <w:b/>
                <w:color w:val="30A46C"/>
                <w:sz w:val="22"/>
              </w:rPr>
              <w:t>+6.1%</w:t>
            </w:r>
          </w:p>
        </w:tc>
        <w:tc>
          <w:tcPr>
            <w:tcW w:type="dxa" w:w="1080"/>
          </w:tcPr>
          <w:p>
            <w:r>
              <w:rPr>
                <w:rFonts w:ascii="Calibri" w:hAnsi="Calibri"/>
                <w:b/>
                <w:color w:val="30A46C"/>
                <w:sz w:val="22"/>
              </w:rPr>
              <w:t>Beat</w:t>
            </w:r>
          </w:p>
        </w:tc>
      </w:tr>
      <w:tr>
        <w:tc>
          <w:tcPr>
            <w:tcW w:type="dxa" w:w="1080"/>
          </w:tcPr>
          <w:p>
            <w:r>
              <w:rPr>
                <w:rFonts w:ascii="Calibri" w:hAnsi="Calibri"/>
                <w:sz w:val="22"/>
              </w:rPr>
              <w:t>Q4 FY2024 (Jun 2024)</w:t>
            </w:r>
          </w:p>
        </w:tc>
        <w:tc>
          <w:tcPr>
            <w:tcW w:type="dxa" w:w="1080"/>
          </w:tcPr>
          <w:p>
            <w:r>
              <w:rPr>
                <w:rFonts w:ascii="Calibri" w:hAnsi="Calibri"/>
                <w:sz w:val="22"/>
              </w:rPr>
              <w:t>$1.887B</w:t>
            </w:r>
          </w:p>
        </w:tc>
        <w:tc>
          <w:tcPr>
            <w:tcW w:type="dxa" w:w="1080"/>
          </w:tcPr>
          <w:p>
            <w:r>
              <w:rPr>
                <w:rFonts w:ascii="Calibri" w:hAnsi="Calibri"/>
                <w:sz w:val="22"/>
              </w:rPr>
              <w:t>$1.870B</w:t>
            </w:r>
          </w:p>
        </w:tc>
        <w:tc>
          <w:tcPr>
            <w:tcW w:type="dxa" w:w="1080"/>
          </w:tcPr>
          <w:p>
            <w:r>
              <w:rPr>
                <w:rFonts w:ascii="Calibri" w:hAnsi="Calibri"/>
                <w:b/>
                <w:color w:val="30A46C"/>
                <w:sz w:val="22"/>
              </w:rPr>
              <w:t>+0.9%</w:t>
            </w:r>
          </w:p>
        </w:tc>
        <w:tc>
          <w:tcPr>
            <w:tcW w:type="dxa" w:w="1080"/>
          </w:tcPr>
          <w:p>
            <w:r>
              <w:rPr>
                <w:rFonts w:ascii="Calibri" w:hAnsi="Calibri"/>
                <w:sz w:val="22"/>
              </w:rPr>
              <w:t>$1.05</w:t>
            </w:r>
          </w:p>
        </w:tc>
        <w:tc>
          <w:tcPr>
            <w:tcW w:type="dxa" w:w="1080"/>
          </w:tcPr>
          <w:p>
            <w:r>
              <w:rPr>
                <w:rFonts w:ascii="Calibri" w:hAnsi="Calibri"/>
                <w:sz w:val="22"/>
              </w:rPr>
              <w:t>$0.75</w:t>
            </w:r>
          </w:p>
        </w:tc>
        <w:tc>
          <w:tcPr>
            <w:tcW w:type="dxa" w:w="1080"/>
          </w:tcPr>
          <w:p>
            <w:r>
              <w:rPr>
                <w:rFonts w:ascii="Calibri" w:hAnsi="Calibri"/>
                <w:b/>
                <w:color w:val="30A46C"/>
                <w:sz w:val="22"/>
              </w:rPr>
              <w:t>+39.6%</w:t>
            </w:r>
          </w:p>
        </w:tc>
        <w:tc>
          <w:tcPr>
            <w:tcW w:type="dxa" w:w="108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STX has beaten consensus on both revenue and non-GAAP EPS in each of the last 8 consecutive quarters, with EPS beats consistently larger than revenue beats — reflecting the operating leverage of the HAMR ramp and pricing discipline. The magnitude of EPS beats has accelerated sharply (from ~6% in Q1 FY2025 to ~17% in Q3 FY2026), suggesting the Street has persistently underestimated incremental margin expansion.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April 28 earnings call, but management's tone at three subsequent investor conferences has been consistently bullish — reiterating sequential revenue and margin growth for the next four to five quarters and explicitly stating there is no gross margin ceiling. No formal revision has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(Q3 FY2026 Earnings Call, Apr 28, 2026)</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Revenue (Q4 FY2026)</w:t>
            </w:r>
          </w:p>
        </w:tc>
        <w:tc>
          <w:tcPr>
            <w:tcW w:type="dxa" w:w="1728"/>
          </w:tcPr>
          <w:p>
            <w:r>
              <w:rPr>
                <w:rFonts w:ascii="Calibri" w:hAnsi="Calibri"/>
                <w:sz w:val="22"/>
              </w:rPr>
              <w:t>$3.45B ± $0.10B</w:t>
            </w:r>
          </w:p>
        </w:tc>
        <w:tc>
          <w:tcPr>
            <w:tcW w:type="dxa" w:w="1728"/>
          </w:tcPr>
          <w:p>
            <w:r>
              <w:rPr>
                <w:rFonts w:ascii="Calibri" w:hAnsi="Calibri"/>
                <w:sz w:val="22"/>
              </w:rPr>
              <w:t>—</w:t>
            </w:r>
          </w:p>
        </w:tc>
        <w:tc>
          <w:tcPr>
            <w:tcW w:type="dxa" w:w="1728"/>
          </w:tcPr>
          <w:p>
            <w:r>
              <w:rPr>
                <w:rFonts w:ascii="Calibri" w:hAnsi="Calibri"/>
                <w:sz w:val="22"/>
              </w:rPr>
              <w:t>$3.502B</w:t>
            </w:r>
          </w:p>
        </w:tc>
        <w:tc>
          <w:tcPr>
            <w:tcW w:type="dxa" w:w="1728"/>
          </w:tcPr>
          <w:p>
            <w:r>
              <w:rPr>
                <w:rFonts w:ascii="Calibri" w:hAnsi="Calibri"/>
                <w:sz w:val="22"/>
              </w:rPr>
              <w:t>Unchanged; CFO reiterated sequential revenue growth at TD Cowen (May 27) and BofA (June 2) conferences</w:t>
            </w:r>
          </w:p>
        </w:tc>
      </w:tr>
      <w:tr>
        <w:tc>
          <w:tcPr>
            <w:tcW w:type="dxa" w:w="1728"/>
          </w:tcPr>
          <w:p>
            <w:r>
              <w:rPr>
                <w:rFonts w:ascii="Calibri" w:hAnsi="Calibri"/>
                <w:sz w:val="22"/>
              </w:rPr>
              <w:t>Non-GAAP EPS (Q4 FY2026)</w:t>
            </w:r>
          </w:p>
        </w:tc>
        <w:tc>
          <w:tcPr>
            <w:tcW w:type="dxa" w:w="1728"/>
          </w:tcPr>
          <w:p>
            <w:r>
              <w:rPr>
                <w:rFonts w:ascii="Calibri" w:hAnsi="Calibri"/>
                <w:sz w:val="22"/>
              </w:rPr>
              <w:t>$5.00 ± $0.20</w:t>
            </w:r>
          </w:p>
        </w:tc>
        <w:tc>
          <w:tcPr>
            <w:tcW w:type="dxa" w:w="1728"/>
          </w:tcPr>
          <w:p>
            <w:r>
              <w:rPr>
                <w:rFonts w:ascii="Calibri" w:hAnsi="Calibri"/>
                <w:sz w:val="22"/>
              </w:rPr>
              <w:t>—</w:t>
            </w:r>
          </w:p>
        </w:tc>
        <w:tc>
          <w:tcPr>
            <w:tcW w:type="dxa" w:w="1728"/>
          </w:tcPr>
          <w:p>
            <w:r>
              <w:rPr>
                <w:rFonts w:ascii="Calibri" w:hAnsi="Calibri"/>
                <w:sz w:val="22"/>
              </w:rPr>
              <w:t>$5.12</w:t>
            </w:r>
          </w:p>
        </w:tc>
        <w:tc>
          <w:tcPr>
            <w:tcW w:type="dxa" w:w="1728"/>
          </w:tcPr>
          <w:p>
            <w:r>
              <w:rPr>
                <w:rFonts w:ascii="Calibri" w:hAnsi="Calibri"/>
                <w:sz w:val="22"/>
              </w:rPr>
              <w:t>Unchanged; based on ~16% tax rate and 231M diluted shares (incl. ~3M from 2028 convertible dilution)</w:t>
            </w:r>
          </w:p>
        </w:tc>
      </w:tr>
      <w:tr>
        <w:tc>
          <w:tcPr>
            <w:tcW w:type="dxa" w:w="1728"/>
          </w:tcPr>
          <w:p>
            <w:r>
              <w:rPr>
                <w:rFonts w:ascii="Calibri" w:hAnsi="Calibri"/>
                <w:sz w:val="22"/>
              </w:rPr>
              <w:t>Non-GAAP Gross Margin (Q4 FY2026)</w:t>
            </w:r>
          </w:p>
        </w:tc>
        <w:tc>
          <w:tcPr>
            <w:tcW w:type="dxa" w:w="1728"/>
          </w:tcPr>
          <w:p>
            <w:r>
              <w:rPr>
                <w:rFonts w:ascii="Calibri" w:hAnsi="Calibri"/>
                <w:sz w:val="22"/>
              </w:rPr>
              <w:t>~50%</w:t>
            </w:r>
          </w:p>
        </w:tc>
        <w:tc>
          <w:tcPr>
            <w:tcW w:type="dxa" w:w="1728"/>
          </w:tcPr>
          <w:p>
            <w:r>
              <w:rPr>
                <w:rFonts w:ascii="Calibri" w:hAnsi="Calibri"/>
                <w:sz w:val="22"/>
              </w:rPr>
              <w:t>—</w:t>
            </w:r>
          </w:p>
        </w:tc>
        <w:tc>
          <w:tcPr>
            <w:tcW w:type="dxa" w:w="1728"/>
          </w:tcPr>
          <w:p>
            <w:r>
              <w:rPr>
                <w:rFonts w:ascii="Calibri" w:hAnsi="Calibri"/>
                <w:sz w:val="22"/>
              </w:rPr>
              <w:t>~50.6% implied by consensus gross profit / revenue</w:t>
            </w:r>
          </w:p>
        </w:tc>
        <w:tc>
          <w:tcPr>
            <w:tcW w:type="dxa" w:w="1728"/>
          </w:tcPr>
          <w:p>
            <w:r>
              <w:rPr>
                <w:rFonts w:ascii="Calibri" w:hAnsi="Calibri"/>
                <w:sz w:val="22"/>
              </w:rPr>
              <w:t>Unchanged; CFO explicitly stated at TD Cowen: "this quarter, we are guiding at the gross margin that is about 50%" and "we don’t see an end" to improvement trajectory</w:t>
            </w:r>
          </w:p>
        </w:tc>
      </w:tr>
      <w:tr>
        <w:tc>
          <w:tcPr>
            <w:tcW w:type="dxa" w:w="1728"/>
          </w:tcPr>
          <w:p>
            <w:r>
              <w:rPr>
                <w:rFonts w:ascii="Calibri" w:hAnsi="Calibri"/>
                <w:sz w:val="22"/>
              </w:rPr>
              <w:t>Non-GAAP Operating Margin (Q4 FY2026)</w:t>
            </w:r>
          </w:p>
        </w:tc>
        <w:tc>
          <w:tcPr>
            <w:tcW w:type="dxa" w:w="1728"/>
          </w:tcPr>
          <w:p>
            <w:r>
              <w:rPr>
                <w:rFonts w:ascii="Calibri" w:hAnsi="Calibri"/>
                <w:sz w:val="22"/>
              </w:rPr>
              <w:t>Lower 40% range</w:t>
            </w:r>
          </w:p>
        </w:tc>
        <w:tc>
          <w:tcPr>
            <w:tcW w:type="dxa" w:w="1728"/>
          </w:tcPr>
          <w:p>
            <w:r>
              <w:rPr>
                <w:rFonts w:ascii="Calibri" w:hAnsi="Calibri"/>
                <w:sz w:val="22"/>
              </w:rPr>
              <w:t>—</w:t>
            </w:r>
          </w:p>
        </w:tc>
        <w:tc>
          <w:tcPr>
            <w:tcW w:type="dxa" w:w="1728"/>
          </w:tcPr>
          <w:p>
            <w:r>
              <w:rPr>
                <w:rFonts w:ascii="Calibri" w:hAnsi="Calibri"/>
                <w:sz w:val="22"/>
              </w:rPr>
              <w:t>~42.1% implied by consensus</w:t>
            </w:r>
          </w:p>
        </w:tc>
        <w:tc>
          <w:tcPr>
            <w:tcW w:type="dxa" w:w="1728"/>
          </w:tcPr>
          <w:p>
            <w:r>
              <w:rPr>
                <w:rFonts w:ascii="Calibri" w:hAnsi="Calibri"/>
                <w:sz w:val="22"/>
              </w:rPr>
              <w:t>Unchanged; OpEx guided ~$295M (flat in dollar terms)</w:t>
            </w:r>
          </w:p>
        </w:tc>
      </w:tr>
      <w:tr>
        <w:tc>
          <w:tcPr>
            <w:tcW w:type="dxa" w:w="1728"/>
          </w:tcPr>
          <w:p>
            <w:r>
              <w:rPr>
                <w:rFonts w:ascii="Calibri" w:hAnsi="Calibri"/>
                <w:sz w:val="22"/>
              </w:rPr>
              <w:t>Long-Term Revenue Growth Target</w:t>
            </w:r>
          </w:p>
        </w:tc>
        <w:tc>
          <w:tcPr>
            <w:tcW w:type="dxa" w:w="1728"/>
          </w:tcPr>
          <w:p>
            <w:r>
              <w:rPr>
                <w:rFonts w:ascii="Calibri" w:hAnsi="Calibri"/>
                <w:sz w:val="22"/>
              </w:rPr>
              <w:t>Minimum 20% annually (raised from low-to-mid teens at Q3 earnings)</w:t>
            </w:r>
          </w:p>
        </w:tc>
        <w:tc>
          <w:tcPr>
            <w:tcW w:type="dxa" w:w="1728"/>
          </w:tcPr>
          <w:p>
            <w:r>
              <w:rPr>
                <w:rFonts w:ascii="Calibri" w:hAnsi="Calibri"/>
                <w:sz w:val="22"/>
              </w:rPr>
              <w:t>—</w:t>
            </w:r>
          </w:p>
        </w:tc>
        <w:tc>
          <w:tcPr>
            <w:tcW w:type="dxa" w:w="1728"/>
          </w:tcPr>
          <w:p>
            <w:r>
              <w:rPr>
                <w:rFonts w:ascii="Calibri" w:hAnsi="Calibri"/>
                <w:sz w:val="22"/>
              </w:rPr>
              <w:t>FY2027 consensus: $17.02B (+41% YoY)</w:t>
            </w:r>
          </w:p>
        </w:tc>
        <w:tc>
          <w:tcPr>
            <w:tcW w:type="dxa" w:w="1728"/>
          </w:tcPr>
          <w:p>
            <w:r>
              <w:rPr>
                <w:rFonts w:ascii="Calibri" w:hAnsi="Calibri"/>
                <w:sz w:val="22"/>
              </w:rPr>
              <w:t>↑ Raised at Q3 FY2026 earnings; CFO at TD Cowen noted it will "probably be more than" 20%</w:t>
            </w:r>
          </w:p>
        </w:tc>
      </w:tr>
      <w:tr>
        <w:tc>
          <w:tcPr>
            <w:tcW w:type="dxa" w:w="1728"/>
          </w:tcPr>
          <w:p>
            <w:r>
              <w:rPr>
                <w:rFonts w:ascii="Calibri" w:hAnsi="Calibri"/>
                <w:sz w:val="22"/>
              </w:rPr>
              <w:t>Convertible Debt Retirement</w:t>
            </w:r>
          </w:p>
        </w:tc>
        <w:tc>
          <w:tcPr>
            <w:tcW w:type="dxa" w:w="1728"/>
          </w:tcPr>
          <w:p>
            <w:r>
              <w:rPr>
                <w:rFonts w:ascii="Calibri" w:hAnsi="Calibri"/>
                <w:sz w:val="22"/>
              </w:rPr>
              <w:t>~$400M remaining; to be addressed "this quarter or next"</w:t>
            </w:r>
          </w:p>
        </w:tc>
        <w:tc>
          <w:tcPr>
            <w:tcW w:type="dxa" w:w="1728"/>
          </w:tcPr>
          <w:p>
            <w:r>
              <w:rPr>
                <w:rFonts w:ascii="Calibri" w:hAnsi="Calibri"/>
                <w:sz w:val="22"/>
              </w:rPr>
              <w:t>June 11, 2026: 8-K filed — Seagate subsidiary to redeem all 2028 Exchangeable Senior Notes</w:t>
            </w:r>
          </w:p>
        </w:tc>
        <w:tc>
          <w:tcPr>
            <w:tcW w:type="dxa" w:w="1728"/>
          </w:tcPr>
          <w:p>
            <w:r>
              <w:rPr>
                <w:rFonts w:ascii="Calibri" w:hAnsi="Calibri"/>
                <w:sz w:val="22"/>
              </w:rPr>
              <w:t>~$200M remaining per BofA conference (June 2)</w:t>
            </w:r>
          </w:p>
        </w:tc>
        <w:tc>
          <w:tcPr>
            <w:tcW w:type="dxa" w:w="1728"/>
          </w:tcPr>
          <w:p>
            <w:r>
              <w:rPr>
                <w:rFonts w:ascii="Calibri" w:hAnsi="Calibri"/>
                <w:sz w:val="22"/>
              </w:rPr>
              <w:t>↑ Accelerated; 8-K filed June 11, 2026 confirming redemption of all 2028 notes; CFO confirmed ~$200M remaining at BofA conference</w:t>
            </w:r>
          </w:p>
        </w:tc>
      </w:tr>
      <w:tr>
        <w:tc>
          <w:tcPr>
            <w:tcW w:type="dxa" w:w="1728"/>
          </w:tcPr>
          <w:p>
            <w:r>
              <w:rPr>
                <w:rFonts w:ascii="Calibri" w:hAnsi="Calibri"/>
                <w:sz w:val="22"/>
              </w:rPr>
              <w:t>Capital Return Policy</w:t>
            </w:r>
          </w:p>
        </w:tc>
        <w:tc>
          <w:tcPr>
            <w:tcW w:type="dxa" w:w="1728"/>
          </w:tcPr>
          <w:p>
            <w:r>
              <w:rPr>
                <w:rFonts w:ascii="Calibri" w:hAnsi="Calibri"/>
                <w:sz w:val="22"/>
              </w:rPr>
              <w:t>Majority of FCF to share buybacks; &gt;75% of FCF to shareholders long-term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CFO at BofA: "vast majority of free cash flow" to dividends and buybacks once debt repayment winds down; target cash balance ~$1.5B</w:t>
            </w:r>
          </w:p>
        </w:tc>
      </w:tr>
    </w:tbl>
    <w:p>
      <w:r>
        <w:rPr>
          <w:rFonts w:ascii="Calibri" w:hAnsi="Calibri"/>
          <w:i/>
          <w:color w:val="525866"/>
          <w:sz w:val="22"/>
        </w:rPr>
        <w:t>Sources: STX Q3 FY2026 Earnings Call (April 28, 2026); TD Cowen Technology, Media &amp; Telecom Conference (May 27, 2026); Bank of America Global Technology Conference (June 2, 2026); JP Morgan Global Technology, Media and Communications Conference (May 18, 2026); STX 8-K filed June 11, 2026 (Redemption Announcement).</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Q3 FY2026 print — Q4 FY2026 revenue consensus rose ~$25M and EPS rose ~$0.04 post-earnings — but both remain modestly above guidance midpoints, suggesting the Street has not fully priced in the upside scenario. FY2027 estimates have moved up meaningfully (+$680M revenue, +$1.94 EPS) since the Q3 print, reflecting the raised long-term growth target, but still imply only ~41% revenue growth vs. management's “minimum 20%” annual target.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Q3 Earnings (as of May 5, 2026)</w:t>
            </w:r>
          </w:p>
        </w:tc>
        <w:tc>
          <w:tcPr>
            <w:tcW w:type="dxa" w:w="1080"/>
          </w:tcPr>
          <w:p>
            <w:r>
              <w:rPr>
                <w:rFonts w:ascii="Calibri" w:hAnsi="Calibri"/>
                <w:b/>
                <w:sz w:val="22"/>
              </w:rPr>
              <w:t>Current Consensus (July 28, 2026)</w:t>
            </w:r>
          </w:p>
        </w:tc>
        <w:tc>
          <w:tcPr>
            <w:tcW w:type="dxa" w:w="1080"/>
          </w:tcPr>
          <w:p>
            <w:r>
              <w:rPr>
                <w:rFonts w:ascii="Calibri" w:hAnsi="Calibri"/>
                <w:b/>
                <w:sz w:val="22"/>
              </w:rPr>
              <w:t>Estimate Δ (%)</w:t>
            </w:r>
          </w:p>
        </w:tc>
        <w:tc>
          <w:tcPr>
            <w:tcW w:type="dxa" w:w="1080"/>
          </w:tcPr>
          <w:p>
            <w:r>
              <w:rPr>
                <w:rFonts w:ascii="Calibri" w:hAnsi="Calibri"/>
                <w:b/>
                <w:sz w:val="22"/>
              </w:rPr>
              <w:t>Initial Guidance (Q3 Earnings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Revenue — Q4 FY2026</w:t>
            </w:r>
          </w:p>
        </w:tc>
        <w:tc>
          <w:tcPr>
            <w:tcW w:type="dxa" w:w="1080"/>
          </w:tcPr>
          <w:p>
            <w:r>
              <w:rPr>
                <w:rFonts w:ascii="Calibri" w:hAnsi="Calibri"/>
                <w:sz w:val="22"/>
              </w:rPr>
              <w:t>$3.477B</w:t>
            </w:r>
          </w:p>
        </w:tc>
        <w:tc>
          <w:tcPr>
            <w:tcW w:type="dxa" w:w="1080"/>
          </w:tcPr>
          <w:p>
            <w:r>
              <w:rPr>
                <w:rFonts w:ascii="Calibri" w:hAnsi="Calibri"/>
                <w:sz w:val="22"/>
              </w:rPr>
              <w:t>$3.502B</w:t>
            </w:r>
          </w:p>
        </w:tc>
        <w:tc>
          <w:tcPr>
            <w:tcW w:type="dxa" w:w="1080"/>
          </w:tcPr>
          <w:p>
            <w:r>
              <w:rPr>
                <w:rFonts w:ascii="Calibri" w:hAnsi="Calibri"/>
                <w:b/>
                <w:color w:val="30A46C"/>
                <w:sz w:val="22"/>
              </w:rPr>
              <w:t>+0.7%</w:t>
            </w:r>
          </w:p>
        </w:tc>
        <w:tc>
          <w:tcPr>
            <w:tcW w:type="dxa" w:w="1080"/>
          </w:tcPr>
          <w:p>
            <w:r>
              <w:rPr>
                <w:rFonts w:ascii="Calibri" w:hAnsi="Calibri"/>
                <w:sz w:val="22"/>
              </w:rPr>
              <w:t>$3.45B ± $0.10B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above midpoint</w:t>
            </w:r>
          </w:p>
        </w:tc>
      </w:tr>
      <w:tr>
        <w:tc>
          <w:tcPr>
            <w:tcW w:type="dxa" w:w="1080"/>
          </w:tcPr>
          <w:p>
            <w:r>
              <w:rPr>
                <w:rFonts w:ascii="Calibri" w:hAnsi="Calibri"/>
                <w:sz w:val="22"/>
              </w:rPr>
              <w:t>Non-GAAP EPS — Q4 FY2026</w:t>
            </w:r>
          </w:p>
        </w:tc>
        <w:tc>
          <w:tcPr>
            <w:tcW w:type="dxa" w:w="1080"/>
          </w:tcPr>
          <w:p>
            <w:r>
              <w:rPr>
                <w:rFonts w:ascii="Calibri" w:hAnsi="Calibri"/>
                <w:sz w:val="22"/>
              </w:rPr>
              <w:t>$5.087</w:t>
            </w:r>
          </w:p>
        </w:tc>
        <w:tc>
          <w:tcPr>
            <w:tcW w:type="dxa" w:w="1080"/>
          </w:tcPr>
          <w:p>
            <w:r>
              <w:rPr>
                <w:rFonts w:ascii="Calibri" w:hAnsi="Calibri"/>
                <w:sz w:val="22"/>
              </w:rPr>
              <w:t>$5.123</w:t>
            </w:r>
          </w:p>
        </w:tc>
        <w:tc>
          <w:tcPr>
            <w:tcW w:type="dxa" w:w="1080"/>
          </w:tcPr>
          <w:p>
            <w:r>
              <w:rPr>
                <w:rFonts w:ascii="Calibri" w:hAnsi="Calibri"/>
                <w:b/>
                <w:color w:val="30A46C"/>
                <w:sz w:val="22"/>
              </w:rPr>
              <w:t>+0.7%</w:t>
            </w:r>
          </w:p>
        </w:tc>
        <w:tc>
          <w:tcPr>
            <w:tcW w:type="dxa" w:w="1080"/>
          </w:tcPr>
          <w:p>
            <w:r>
              <w:rPr>
                <w:rFonts w:ascii="Calibri" w:hAnsi="Calibri"/>
                <w:sz w:val="22"/>
              </w:rPr>
              <w:t>$5.00 ± $0.20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+2.5% above midpoint</w:t>
            </w:r>
          </w:p>
        </w:tc>
      </w:tr>
      <w:tr>
        <w:tc>
          <w:tcPr>
            <w:tcW w:type="dxa" w:w="1080"/>
          </w:tcPr>
          <w:p>
            <w:r>
              <w:rPr>
                <w:rFonts w:ascii="Calibri" w:hAnsi="Calibri"/>
                <w:sz w:val="22"/>
              </w:rPr>
              <w:t>Non-GAAP Gross Profit — Q4 FY2026</w:t>
            </w:r>
          </w:p>
        </w:tc>
        <w:tc>
          <w:tcPr>
            <w:tcW w:type="dxa" w:w="1080"/>
          </w:tcPr>
          <w:p>
            <w:r>
              <w:rPr>
                <w:rFonts w:ascii="Calibri" w:hAnsi="Calibri"/>
                <w:sz w:val="22"/>
              </w:rPr>
              <w:t>$1.759B</w:t>
            </w:r>
          </w:p>
        </w:tc>
        <w:tc>
          <w:tcPr>
            <w:tcW w:type="dxa" w:w="1080"/>
          </w:tcPr>
          <w:p>
            <w:r>
              <w:rPr>
                <w:rFonts w:ascii="Calibri" w:hAnsi="Calibri"/>
                <w:sz w:val="22"/>
              </w:rPr>
              <w:t>$1.771B</w:t>
            </w:r>
          </w:p>
        </w:tc>
        <w:tc>
          <w:tcPr>
            <w:tcW w:type="dxa" w:w="1080"/>
          </w:tcPr>
          <w:p>
            <w:r>
              <w:rPr>
                <w:rFonts w:ascii="Calibri" w:hAnsi="Calibri"/>
                <w:b/>
                <w:color w:val="30A46C"/>
                <w:sz w:val="22"/>
              </w:rPr>
              <w:t>+0.7%</w:t>
            </w:r>
          </w:p>
        </w:tc>
        <w:tc>
          <w:tcPr>
            <w:tcW w:type="dxa" w:w="1080"/>
          </w:tcPr>
          <w:p>
            <w:r>
              <w:rPr>
                <w:rFonts w:ascii="Calibri" w:hAnsi="Calibri"/>
                <w:sz w:val="22"/>
              </w:rPr>
              <w:t>~50% gross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+2.7% above implied midpoint (~$1.725B)</w:t>
            </w:r>
          </w:p>
        </w:tc>
      </w:tr>
      <w:tr>
        <w:tc>
          <w:tcPr>
            <w:tcW w:type="dxa" w:w="1080"/>
          </w:tcPr>
          <w:p>
            <w:r>
              <w:rPr>
                <w:rFonts w:ascii="Calibri" w:hAnsi="Calibri"/>
                <w:sz w:val="22"/>
              </w:rPr>
              <w:t>HDD Exabytes — Q4 FY2026</w:t>
            </w:r>
          </w:p>
        </w:tc>
        <w:tc>
          <w:tcPr>
            <w:tcW w:type="dxa" w:w="1080"/>
          </w:tcPr>
          <w:p>
            <w:r>
              <w:rPr>
                <w:rFonts w:ascii="Calibri" w:hAnsi="Calibri"/>
                <w:sz w:val="22"/>
              </w:rPr>
              <w:t>212.9 EB</w:t>
            </w:r>
          </w:p>
        </w:tc>
        <w:tc>
          <w:tcPr>
            <w:tcW w:type="dxa" w:w="1080"/>
          </w:tcPr>
          <w:p>
            <w:r>
              <w:rPr>
                <w:rFonts w:ascii="Calibri" w:hAnsi="Calibri"/>
                <w:sz w:val="22"/>
              </w:rPr>
              <w:t>214.2 EB</w:t>
            </w:r>
          </w:p>
        </w:tc>
        <w:tc>
          <w:tcPr>
            <w:tcW w:type="dxa" w:w="1080"/>
          </w:tcPr>
          <w:p>
            <w:r>
              <w:rPr>
                <w:rFonts w:ascii="Calibri" w:hAnsi="Calibri"/>
                <w:b/>
                <w:color w:val="30A46C"/>
                <w:sz w:val="22"/>
              </w:rPr>
              <w:t>+0.6%</w:t>
            </w:r>
          </w:p>
        </w:tc>
        <w:tc>
          <w:tcPr>
            <w:tcW w:type="dxa" w:w="1080"/>
          </w:tcPr>
          <w:p>
            <w:r>
              <w:rPr>
                <w:rFonts w:ascii="Calibri" w:hAnsi="Calibri"/>
                <w:sz w:val="22"/>
              </w:rPr>
              <w:t>Mid-20s% growth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FY2026 (Full Year)</w:t>
            </w:r>
          </w:p>
        </w:tc>
        <w:tc>
          <w:tcPr>
            <w:tcW w:type="dxa" w:w="1080"/>
          </w:tcPr>
          <w:p>
            <w:r>
              <w:rPr>
                <w:rFonts w:ascii="Calibri" w:hAnsi="Calibri"/>
                <w:sz w:val="22"/>
              </w:rPr>
              <w:t>$12.043B</w:t>
            </w:r>
          </w:p>
        </w:tc>
        <w:tc>
          <w:tcPr>
            <w:tcW w:type="dxa" w:w="1080"/>
          </w:tcPr>
          <w:p>
            <w:r>
              <w:rPr>
                <w:rFonts w:ascii="Calibri" w:hAnsi="Calibri"/>
                <w:sz w:val="22"/>
              </w:rPr>
              <w:t>$12.068B</w:t>
            </w:r>
          </w:p>
        </w:tc>
        <w:tc>
          <w:tcPr>
            <w:tcW w:type="dxa" w:w="1080"/>
          </w:tcPr>
          <w:p>
            <w:r>
              <w:rPr>
                <w:rFonts w:ascii="Calibri" w:hAnsi="Calibri"/>
                <w:b/>
                <w:color w:val="30A46C"/>
                <w:sz w:val="22"/>
              </w:rPr>
              <w:t>+0.2%</w:t>
            </w:r>
          </w:p>
        </w:tc>
        <w:tc>
          <w:tcPr>
            <w:tcW w:type="dxa" w:w="1080"/>
          </w:tcPr>
          <w:p>
            <w:r>
              <w:rPr>
                <w:rFonts w:ascii="Calibri" w:hAnsi="Calibri"/>
                <w:sz w:val="22"/>
              </w:rPr>
              <w:t>Min. 20% annual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 target, not quarterly)</w:t>
            </w:r>
          </w:p>
        </w:tc>
      </w:tr>
      <w:tr>
        <w:tc>
          <w:tcPr>
            <w:tcW w:type="dxa" w:w="1080"/>
          </w:tcPr>
          <w:p>
            <w:r>
              <w:rPr>
                <w:rFonts w:ascii="Calibri" w:hAnsi="Calibri"/>
                <w:sz w:val="22"/>
              </w:rPr>
              <w:t>Non-GAAP EPS — FY2026</w:t>
            </w:r>
          </w:p>
        </w:tc>
        <w:tc>
          <w:tcPr>
            <w:tcW w:type="dxa" w:w="1080"/>
          </w:tcPr>
          <w:p>
            <w:r>
              <w:rPr>
                <w:rFonts w:ascii="Calibri" w:hAnsi="Calibri"/>
                <w:sz w:val="22"/>
              </w:rPr>
              <w:t>$14.893</w:t>
            </w:r>
          </w:p>
        </w:tc>
        <w:tc>
          <w:tcPr>
            <w:tcW w:type="dxa" w:w="1080"/>
          </w:tcPr>
          <w:p>
            <w:r>
              <w:rPr>
                <w:rFonts w:ascii="Calibri" w:hAnsi="Calibri"/>
                <w:sz w:val="22"/>
              </w:rPr>
              <w:t>$14.928</w:t>
            </w:r>
          </w:p>
        </w:tc>
        <w:tc>
          <w:tcPr>
            <w:tcW w:type="dxa" w:w="1080"/>
          </w:tcPr>
          <w:p>
            <w:r>
              <w:rPr>
                <w:rFonts w:ascii="Calibri" w:hAnsi="Calibri"/>
                <w:b/>
                <w:color w:val="30A46C"/>
                <w:sz w:val="22"/>
              </w:rPr>
              <w:t>+0.2%</w:t>
            </w:r>
          </w:p>
        </w:tc>
        <w:tc>
          <w:tcPr>
            <w:tcW w:type="dxa" w:w="1080"/>
          </w:tcPr>
          <w:p>
            <w:r>
              <w:rPr>
                <w:rFonts w:ascii="Calibri" w:hAnsi="Calibri"/>
                <w:sz w:val="22"/>
              </w:rPr>
              <w:t>N/A (FY)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$16.343B</w:t>
            </w:r>
          </w:p>
        </w:tc>
        <w:tc>
          <w:tcPr>
            <w:tcW w:type="dxa" w:w="1080"/>
          </w:tcPr>
          <w:p>
            <w:r>
              <w:rPr>
                <w:rFonts w:ascii="Calibri" w:hAnsi="Calibri"/>
                <w:sz w:val="22"/>
              </w:rPr>
              <w:t>$17.024B</w:t>
            </w:r>
          </w:p>
        </w:tc>
        <w:tc>
          <w:tcPr>
            <w:tcW w:type="dxa" w:w="1080"/>
          </w:tcPr>
          <w:p>
            <w:r>
              <w:rPr>
                <w:rFonts w:ascii="Calibri" w:hAnsi="Calibri"/>
                <w:b/>
                <w:color w:val="30A46C"/>
                <w:sz w:val="22"/>
              </w:rPr>
              <w:t>+4.2%</w:t>
            </w:r>
          </w:p>
        </w:tc>
        <w:tc>
          <w:tcPr>
            <w:tcW w:type="dxa" w:w="1080"/>
          </w:tcPr>
          <w:p>
            <w:r>
              <w:rPr>
                <w:rFonts w:ascii="Calibri" w:hAnsi="Calibri"/>
                <w:sz w:val="22"/>
              </w:rPr>
              <w:t>Min. 20% annual growth; $20B run rate by FY2028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Implies ~41% YoY growth vs. FY2026 consensus</w:t>
            </w:r>
          </w:p>
        </w:tc>
      </w:tr>
      <w:tr>
        <w:tc>
          <w:tcPr>
            <w:tcW w:type="dxa" w:w="1080"/>
          </w:tcPr>
          <w:p>
            <w:r>
              <w:rPr>
                <w:rFonts w:ascii="Calibri" w:hAnsi="Calibri"/>
                <w:sz w:val="22"/>
              </w:rPr>
              <w:t>Non-GAAP EPS — FY2027</w:t>
            </w:r>
          </w:p>
        </w:tc>
        <w:tc>
          <w:tcPr>
            <w:tcW w:type="dxa" w:w="1080"/>
          </w:tcPr>
          <w:p>
            <w:r>
              <w:rPr>
                <w:rFonts w:ascii="Calibri" w:hAnsi="Calibri"/>
                <w:sz w:val="22"/>
              </w:rPr>
              <w:t>$27.482</w:t>
            </w:r>
          </w:p>
        </w:tc>
        <w:tc>
          <w:tcPr>
            <w:tcW w:type="dxa" w:w="1080"/>
          </w:tcPr>
          <w:p>
            <w:r>
              <w:rPr>
                <w:rFonts w:ascii="Calibri" w:hAnsi="Calibri"/>
                <w:sz w:val="22"/>
              </w:rPr>
              <w:t>$29.427</w:t>
            </w:r>
          </w:p>
        </w:tc>
        <w:tc>
          <w:tcPr>
            <w:tcW w:type="dxa" w:w="1080"/>
          </w:tcPr>
          <w:p>
            <w:r>
              <w:rPr>
                <w:rFonts w:ascii="Calibri" w:hAnsi="Calibri"/>
                <w:b/>
                <w:color w:val="30A46C"/>
                <w:sz w:val="22"/>
              </w:rPr>
              <w:t>+7.1%</w:t>
            </w:r>
          </w:p>
        </w:tc>
        <w:tc>
          <w:tcPr>
            <w:tcW w:type="dxa" w:w="1080"/>
          </w:tcPr>
          <w:p>
            <w:r>
              <w:rPr>
                <w:rFonts w:ascii="Calibri" w:hAnsi="Calibri"/>
                <w:sz w:val="22"/>
              </w:rPr>
              <w:t>N/A (FY)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are tracking guidance closely for Q4 FY2026, with consensus sitting modestly above midpoints on all key metrics — a pattern consistent with the last eight quarters of beats. The more notable revision is in FY2027, where consensus has moved up +4.2% on revenue and +7.1% on EPS since the Q3 print, reflecting the raised long-term growth target and finalized build-to-order contracts through FY2027. The gap between FY2027 consensus ($17.0B) and management's implied $20B run-rate target by FY2028 suggests further upward revision risk if execution continues.</w:t>
      </w:r>
    </w:p>
    <w:p>
      <w:r>
        <w:rPr>
          <w:rFonts w:ascii="Calibri" w:hAnsi="Calibri"/>
          <w:i/>
          <w:color w:val="525866"/>
          <w:sz w:val="22"/>
        </w:rPr>
        <w:t>Source: Visible Alpha Consensus and Actuals Data. Baseline as of May 5, 2026 (approximately 5 trading days post Q3 FY2026 earnings on April 28,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STX has massively outperformed since the Q3 FY2026 earnings print, driven primarily by </w:t>
      </w:r>
      <w:r>
        <w:rPr>
          <w:rFonts w:ascii="Calibri" w:hAnsi="Calibri"/>
          <w:b/>
          <w:color w:val="525866"/>
          <w:sz w:val="22"/>
        </w:rPr>
        <w:t>estimate revisions and multiple re-rating</w:t>
      </w:r>
      <w:r>
        <w:rPr>
          <w:rFonts w:ascii="Calibri" w:hAnsi="Calibri"/>
          <w:color w:val="525866"/>
          <w:sz w:val="22"/>
        </w:rPr>
        <w:t xml:space="preserve"> as the HAMR ramp and margin expansion story gained credibility — the stock rallied ~79% from the pre-earnings close of ~$575 to a peak of ~$1,094 before pulling back ~25% to ~$817 today, still +41% since earnings vs. XLK +10% and SPY +4%.</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STX vs. XLK vs. S&amp;P 500 — Indexed Performance Since Q3 FY2026 Earnings (April 28, 2026). Base = 100. Sector ETF: XLK (Technology Select Sector SPDR). Source: Stock Price Data.</w:t>
      </w:r>
    </w:p>
    <w:p>
      <w:r>
        <w:rPr>
          <w:rFonts w:ascii="Calibri" w:hAnsi="Calibri"/>
          <w:b/>
          <w:color w:val="525866"/>
          <w:sz w:val="22"/>
        </w:rPr>
        <w:t>Key events since April 28, 2026 earnings:</w:t>
      </w:r>
    </w:p>
    <w:p>
      <w:pPr>
        <w:pStyle w:val="ListBullet"/>
        <w:ind w:left="360" w:hanging="360"/>
      </w:pPr>
      <w:r>
        <w:rPr>
          <w:rFonts w:ascii="Calibri" w:hAnsi="Calibri"/>
          <w:b/>
          <w:color w:val="525866"/>
          <w:sz w:val="22"/>
        </w:rPr>
        <w:t xml:space="preserve">April 28, 2026: </w:t>
      </w:r>
      <w:r>
        <w:rPr>
          <w:rFonts w:ascii="Calibri" w:hAnsi="Calibri"/>
          <w:color w:val="525866"/>
          <w:sz w:val="22"/>
        </w:rPr>
        <w:t>Q3 FY2026 earnings beat — STX surged from ~$579 to ~$643 (+11%) the next session. Record 47% gross margin, $953M FCF, Mozaic 4+ qualification at two largest CSPs, Q4 guidance well above consensus.</w:t>
      </w:r>
    </w:p>
    <w:p>
      <w:pPr>
        <w:pStyle w:val="ListBullet"/>
        <w:ind w:left="360" w:hanging="360"/>
      </w:pPr>
      <w:r>
        <w:rPr>
          <w:rFonts w:ascii="Calibri" w:hAnsi="Calibri"/>
          <w:b/>
          <w:color w:val="525866"/>
          <w:sz w:val="22"/>
        </w:rPr>
        <w:t xml:space="preserve">May 6, 2026: </w:t>
      </w:r>
      <w:r>
        <w:rPr>
          <w:rFonts w:ascii="Calibri" w:hAnsi="Calibri"/>
          <w:color w:val="525866"/>
          <w:sz w:val="22"/>
        </w:rPr>
        <w:t>8-K filed — Director Michael Cannon announced he will not seek re-election. Minimal market impact.</w:t>
      </w:r>
    </w:p>
    <w:p>
      <w:pPr>
        <w:pStyle w:val="ListBullet"/>
        <w:ind w:left="360" w:hanging="360"/>
      </w:pPr>
      <w:r>
        <w:rPr>
          <w:rFonts w:ascii="Calibri" w:hAnsi="Calibri"/>
          <w:b/>
          <w:color w:val="525866"/>
          <w:sz w:val="22"/>
        </w:rPr>
        <w:t xml:space="preserve">May 18–27, 2026: </w:t>
      </w:r>
      <w:r>
        <w:rPr>
          <w:rFonts w:ascii="Calibri" w:hAnsi="Calibri"/>
          <w:color w:val="525866"/>
          <w:sz w:val="22"/>
        </w:rPr>
        <w:t>JP Morgan and TD Cowen conferences — CEO and CFO reiterated bullish demand outlook; stock continued to rally toward $870.</w:t>
      </w:r>
    </w:p>
    <w:p>
      <w:pPr>
        <w:pStyle w:val="ListBullet"/>
        <w:ind w:left="360" w:hanging="360"/>
      </w:pPr>
      <w:r>
        <w:rPr>
          <w:rFonts w:ascii="Calibri" w:hAnsi="Calibri"/>
          <w:b/>
          <w:color w:val="525866"/>
          <w:sz w:val="22"/>
        </w:rPr>
        <w:t xml:space="preserve">June 2, 2026: </w:t>
      </w:r>
      <w:r>
        <w:rPr>
          <w:rFonts w:ascii="Calibri" w:hAnsi="Calibri"/>
          <w:color w:val="525866"/>
          <w:sz w:val="22"/>
        </w:rPr>
        <w:t>Bank of America conference — CFO confirmed ~$200M convertible debt remaining, majority of FCF to go to buybacks; stock near $927.</w:t>
      </w:r>
    </w:p>
    <w:p>
      <w:pPr>
        <w:pStyle w:val="ListBullet"/>
        <w:ind w:left="360" w:hanging="360"/>
      </w:pPr>
      <w:r>
        <w:rPr>
          <w:rFonts w:ascii="Calibri" w:hAnsi="Calibri"/>
          <w:b/>
          <w:color w:val="525866"/>
          <w:sz w:val="22"/>
        </w:rPr>
        <w:t xml:space="preserve">June 11, 2026: </w:t>
      </w:r>
      <w:r>
        <w:rPr>
          <w:rFonts w:ascii="Calibri" w:hAnsi="Calibri"/>
          <w:color w:val="525866"/>
          <w:sz w:val="22"/>
        </w:rPr>
        <w:t>8-K filed — Seagate subsidiary to redeem all 2028 Exchangeable Senior Notes. Stock surged from ~$868 to ~$1,019 (+17%) over the following sessions, reaching an all-time high near $1,094 on June 22.</w:t>
      </w:r>
    </w:p>
    <w:p>
      <w:pPr>
        <w:pStyle w:val="ListBullet"/>
        <w:ind w:left="360" w:hanging="360"/>
      </w:pPr>
      <w:r>
        <w:rPr>
          <w:rFonts w:ascii="Calibri" w:hAnsi="Calibri"/>
          <w:b/>
          <w:color w:val="525866"/>
          <w:sz w:val="22"/>
        </w:rPr>
        <w:t xml:space="preserve">Late June – July 2026: </w:t>
      </w:r>
      <w:r>
        <w:rPr>
          <w:rFonts w:ascii="Calibri" w:hAnsi="Calibri"/>
          <w:color w:val="525866"/>
          <w:sz w:val="22"/>
        </w:rPr>
        <w:t>Pullback from highs — STX retraced from ~$1,094 peak to ~$817 today (-25% from peak), likely driven by profit-taking and broader tech sector rotation. Stock remains +41% since earnings.</w:t>
      </w:r>
    </w:p>
    <w:p>
      <w:r>
        <w:rPr>
          <w:rFonts w:ascii="Calibri" w:hAnsi="Calibri"/>
          <w:color w:val="525866"/>
          <w:sz w:val="22"/>
        </w:rPr>
        <w:t>The outperformance has been driven by a combination of estimate revisions (EPS consensus for Q4 FY2026 rose ~$0.04 and FY2027 rose ~$1.94 post-print) and multiple expansion as the market re-rated STX from a cyclical HDD company to a structural AI infrastructure beneficiary. The ~25% pullback from the June peak has partially reset the valuation, but STX still trades at a meaningful premium to its historical forward P/E range. The key question heading into Q4 earnings is whether the print can re-accelerate the stock or whether the bar has become too high after the run.</w:t>
      </w:r>
    </w:p>
    <w:p>
      <w:r>
        <w:rPr>
          <w:rFonts w:ascii="Calibri" w:hAnsi="Calibri"/>
          <w:i/>
          <w:color w:val="525866"/>
          <w:sz w:val="22"/>
        </w:rPr>
        <w:t>Source: Stock Price Data (Yahoo Finance). Sector ETF: XLK (Technology Select Sector SPDR Fund), selected as the primary technology sector benchmark given STX’s classification as a technology hardware company.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last earnings is the </w:t>
      </w:r>
      <w:r>
        <w:rPr>
          <w:rFonts w:ascii="Calibri" w:hAnsi="Calibri"/>
          <w:b/>
          <w:color w:val="525866"/>
          <w:sz w:val="22"/>
        </w:rPr>
        <w:t>June 11 redemption of all 2028 Exchangeable Senior Notes</w:t>
      </w:r>
      <w:r>
        <w:rPr>
          <w:rFonts w:ascii="Calibri" w:hAnsi="Calibri"/>
          <w:color w:val="525866"/>
          <w:sz w:val="22"/>
        </w:rPr>
        <w:t>, which eliminates the convertible overhang and accelerates the shift of free cash flow toward share buybacks — a direct positive for EPS and shareholder returns heading into Q4.</w:t>
      </w:r>
    </w:p>
    <w:p>
      <w:pPr>
        <w:pStyle w:val="ListBullet"/>
        <w:ind w:left="360" w:hanging="360"/>
      </w:pPr>
      <w:r>
        <w:rPr>
          <w:rFonts w:ascii="Calibri" w:hAnsi="Calibri"/>
          <w:b/>
          <w:color w:val="525866"/>
          <w:sz w:val="22"/>
        </w:rPr>
        <w:t xml:space="preserve">June 11, 2026 — Seagate redeems all 2028 Exchangeable Senior Notes (8-K): </w:t>
      </w:r>
      <w:r>
        <w:rPr>
          <w:rFonts w:ascii="Calibri" w:hAnsi="Calibri"/>
          <w:color w:val="525866"/>
          <w:sz w:val="22"/>
        </w:rPr>
        <w:t xml:space="preserve">Seagate’s subsidiary announced the full redemption of its 2028 Exchangeable Senior Notes. This eliminates the remaining convertible debt overhang (~$200M as of the BofA conference on June 2) and removes the ~3M share dilution from the convertible that was included in Q4 EPS guidance. </w:t>
      </w:r>
      <w:r>
        <w:rPr>
          <w:rFonts w:ascii="Calibri" w:hAnsi="Calibri"/>
          <w:b/>
          <w:color w:val="525866"/>
          <w:sz w:val="22"/>
        </w:rPr>
        <w:t xml:space="preserve">Implication: </w:t>
      </w:r>
      <w:r>
        <w:rPr>
          <w:rFonts w:ascii="Calibri" w:hAnsi="Calibri"/>
          <w:color w:val="525866"/>
          <w:sz w:val="22"/>
        </w:rPr>
        <w:t>Accelerates the shift of FCF toward share buybacks; reduces diluted share count; positive for EPS trajectory. Stock surged ~17% in the sessions following the announcement.</w:t>
      </w:r>
    </w:p>
    <w:p>
      <w:pPr>
        <w:pStyle w:val="ListBullet"/>
        <w:ind w:left="360" w:hanging="360"/>
      </w:pPr>
      <w:r>
        <w:rPr>
          <w:rFonts w:ascii="Calibri" w:hAnsi="Calibri"/>
          <w:b/>
          <w:color w:val="525866"/>
          <w:sz w:val="22"/>
        </w:rPr>
        <w:t xml:space="preserve">May 18, 2026 — JP Morgan Global Technology Conference (CEO Dave Mosley): </w:t>
      </w:r>
      <w:r>
        <w:rPr>
          <w:rFonts w:ascii="Calibri" w:hAnsi="Calibri"/>
          <w:color w:val="525866"/>
          <w:sz w:val="22"/>
        </w:rPr>
        <w:t xml:space="preserve">CEO confirmed Mozaic 3 is now qualified at all planned CSPs; Mozaic 4 qualified at two largest CSPs at PMR-equivalent timelines; Mozaic 5 and 6 expected to qualify at traditional cycle speeds. Reiterated $20B annual revenue run rate target by FY2028 and 50% HAMR exabyte crossover in H2 calendar 2026. </w:t>
      </w:r>
      <w:r>
        <w:rPr>
          <w:rFonts w:ascii="Calibri" w:hAnsi="Calibri"/>
          <w:b/>
          <w:color w:val="525866"/>
          <w:sz w:val="22"/>
        </w:rPr>
        <w:t xml:space="preserve">Implication: </w:t>
      </w:r>
      <w:r>
        <w:rPr>
          <w:rFonts w:ascii="Calibri" w:hAnsi="Calibri"/>
          <w:color w:val="525866"/>
          <w:sz w:val="22"/>
        </w:rPr>
        <w:t>Technology execution de-risked; qualification velocity improving; demand visibility extending to 2028+.</w:t>
      </w:r>
    </w:p>
    <w:p>
      <w:pPr>
        <w:pStyle w:val="ListBullet"/>
        <w:ind w:left="360" w:hanging="360"/>
      </w:pPr>
      <w:r>
        <w:rPr>
          <w:rFonts w:ascii="Calibri" w:hAnsi="Calibri"/>
          <w:b/>
          <w:color w:val="525866"/>
          <w:sz w:val="22"/>
        </w:rPr>
        <w:t xml:space="preserve">May 27, 2026 — TD Cowen Technology, Media &amp; Telecom Conference (CFO Gianluca Romano): </w:t>
      </w:r>
      <w:r>
        <w:rPr>
          <w:rFonts w:ascii="Calibri" w:hAnsi="Calibri"/>
          <w:color w:val="525866"/>
          <w:sz w:val="22"/>
        </w:rPr>
        <w:t xml:space="preserve">CFO reiterated Q4 gross margin guidance of ~50% and stated sequential revenue and profitability improvement for "this quarter plus other 4 of improvement." Confirmed pricing moving from mid-to-high single digit to low double digit increases. Stated 40% of exabytes from HAMR "next month or so" and 70% in ~one year. </w:t>
      </w:r>
      <w:r>
        <w:rPr>
          <w:rFonts w:ascii="Calibri" w:hAnsi="Calibri"/>
          <w:b/>
          <w:color w:val="525866"/>
          <w:sz w:val="22"/>
        </w:rPr>
        <w:t xml:space="preserve">Implication: </w:t>
      </w:r>
      <w:r>
        <w:rPr>
          <w:rFonts w:ascii="Calibri" w:hAnsi="Calibri"/>
          <w:color w:val="525866"/>
          <w:sz w:val="22"/>
        </w:rPr>
        <w:t>Pricing acceleration and HAMR mix shift both tracking ahead of prior expectations; no change to guidance but tone incrementally positive.</w:t>
      </w:r>
    </w:p>
    <w:p>
      <w:pPr>
        <w:pStyle w:val="ListBullet"/>
        <w:ind w:left="360" w:hanging="360"/>
      </w:pPr>
      <w:r>
        <w:rPr>
          <w:rFonts w:ascii="Calibri" w:hAnsi="Calibri"/>
          <w:b/>
          <w:color w:val="525866"/>
          <w:sz w:val="22"/>
        </w:rPr>
        <w:t xml:space="preserve">June 2, 2026 — Bank of America Global Technology Conference (CFO Gianluca Romano): </w:t>
      </w:r>
      <w:r>
        <w:rPr>
          <w:rFonts w:ascii="Calibri" w:hAnsi="Calibri"/>
          <w:color w:val="525866"/>
          <w:sz w:val="22"/>
        </w:rPr>
        <w:t xml:space="preserve">CFO confirmed 13 consecutive quarters of revenue growth; reiterated sequential improvement for next 4-5 quarters; noted edge segment is "very strong" and an upside contributor to Q4 margins. Confirmed ~$200M convertible remaining to be repurchased "next quarter." Target cash balance ~$1.5B; vast majority of FCF to go to dividends and buybacks. </w:t>
      </w:r>
      <w:r>
        <w:rPr>
          <w:rFonts w:ascii="Calibri" w:hAnsi="Calibri"/>
          <w:b/>
          <w:color w:val="525866"/>
          <w:sz w:val="22"/>
        </w:rPr>
        <w:t xml:space="preserve">Implication: </w:t>
      </w:r>
      <w:r>
        <w:rPr>
          <w:rFonts w:ascii="Calibri" w:hAnsi="Calibri"/>
          <w:color w:val="525866"/>
          <w:sz w:val="22"/>
        </w:rPr>
        <w:t>Edge segment margin tailwind is incremental positive for Q4; capital return acceleration imminent.</w:t>
      </w:r>
    </w:p>
    <w:p>
      <w:pPr>
        <w:pStyle w:val="ListBullet"/>
        <w:ind w:left="360" w:hanging="360"/>
      </w:pPr>
      <w:r>
        <w:rPr>
          <w:rFonts w:ascii="Calibri" w:hAnsi="Calibri"/>
          <w:b/>
          <w:color w:val="525866"/>
          <w:sz w:val="22"/>
        </w:rPr>
        <w:t xml:space="preserve">May 6, 2026 — Director Michael Cannon will not seek re-election (8-K): </w:t>
      </w:r>
      <w:r>
        <w:rPr>
          <w:rFonts w:ascii="Calibri" w:hAnsi="Calibri"/>
          <w:color w:val="525866"/>
          <w:sz w:val="22"/>
        </w:rPr>
        <w:t xml:space="preserve">Seagate filed an 8-K disclosing that Director Michael Cannon will not stand for re-election at the upcoming annual meeting. </w:t>
      </w:r>
      <w:r>
        <w:rPr>
          <w:rFonts w:ascii="Calibri" w:hAnsi="Calibri"/>
          <w:b/>
          <w:color w:val="525866"/>
          <w:sz w:val="22"/>
        </w:rPr>
        <w:t xml:space="preserve">Implication: </w:t>
      </w:r>
      <w:r>
        <w:rPr>
          <w:rFonts w:ascii="Calibri" w:hAnsi="Calibri"/>
          <w:color w:val="525866"/>
          <w:sz w:val="22"/>
        </w:rPr>
        <w:t>Routine board transition; no material impact on operations or strategy.</w:t>
      </w:r>
    </w:p>
    <w:p>
      <w:pPr>
        <w:pStyle w:val="ListBullet"/>
        <w:ind w:left="360" w:hanging="360"/>
      </w:pPr>
      <w:r>
        <w:rPr>
          <w:rFonts w:ascii="Calibri" w:hAnsi="Calibri"/>
          <w:b/>
          <w:color w:val="525866"/>
          <w:sz w:val="22"/>
        </w:rPr>
        <w:t xml:space="preserve">April 28, 2026 — Q3 FY2026 Earnings: Record results, Fitch upgrade to investment grade: </w:t>
      </w:r>
      <w:r>
        <w:rPr>
          <w:rFonts w:ascii="Calibri" w:hAnsi="Calibri"/>
          <w:color w:val="525866"/>
          <w:sz w:val="22"/>
        </w:rPr>
        <w:t xml:space="preserve">STX reported record 47% non-GAAP gross margin, $953M FCF (highest in over a decade), and Mozaic 4+ qualification at two largest CSPs. Fitch upgraded credit to investment grade. Raised long-term annual revenue growth target to minimum 20%. </w:t>
      </w:r>
      <w:r>
        <w:rPr>
          <w:rFonts w:ascii="Calibri" w:hAnsi="Calibri"/>
          <w:b/>
          <w:color w:val="525866"/>
          <w:sz w:val="22"/>
        </w:rPr>
        <w:t xml:space="preserve">Implication: </w:t>
      </w:r>
      <w:r>
        <w:rPr>
          <w:rFonts w:ascii="Calibri" w:hAnsi="Calibri"/>
          <w:color w:val="525866"/>
          <w:sz w:val="22"/>
        </w:rPr>
        <w:t>Investment grade rating reduces borrowing costs and expands investor base; sets high bar for Q4 execution.</w:t>
      </w:r>
    </w:p>
    <w:p>
      <w:pPr>
        <w:pStyle w:val="ListBullet"/>
        <w:ind w:left="360" w:hanging="360"/>
      </w:pPr>
      <w:r>
        <w:rPr>
          <w:rFonts w:ascii="Calibri" w:hAnsi="Calibri"/>
          <w:b/>
          <w:color w:val="525866"/>
          <w:sz w:val="22"/>
        </w:rPr>
        <w:t xml:space="preserve">Ongoing — Hyperscaler CapEx acceleration (MSFT, GOOGL, AMZN): </w:t>
      </w:r>
      <w:r>
        <w:rPr>
          <w:rFonts w:ascii="Calibri" w:hAnsi="Calibri"/>
          <w:color w:val="525866"/>
          <w:sz w:val="22"/>
        </w:rPr>
        <w:t xml:space="preserve">Microsoft guided $190B in calendar 2026 CapEx (including ~$25B from higher component pricing) and expects to remain supply-constrained through 2026. Google raised full-year 2026 CapEx guidance to $195-$205B (up from $180-$190B) citing accelerating demand. Amazon spent $43.2B in Q1 CapEx for AWS/AI. All three hyperscalers explicitly noted storage as a constrained component. </w:t>
      </w:r>
      <w:r>
        <w:rPr>
          <w:rFonts w:ascii="Calibri" w:hAnsi="Calibri"/>
          <w:b/>
          <w:color w:val="525866"/>
          <w:sz w:val="22"/>
        </w:rPr>
        <w:t xml:space="preserve">Implication: </w:t>
      </w:r>
      <w:r>
        <w:rPr>
          <w:rFonts w:ascii="Calibri" w:hAnsi="Calibri"/>
          <w:color w:val="525866"/>
          <w:sz w:val="22"/>
        </w:rPr>
        <w:t>Structural demand tailwind for STX’s nearline HDD business; supply tightness supports pricing power.</w:t>
      </w:r>
    </w:p>
    <w:p>
      <w:pPr>
        <w:pStyle w:val="ListBullet"/>
        <w:ind w:left="360" w:hanging="360"/>
      </w:pPr>
      <w:r>
        <w:rPr>
          <w:rFonts w:ascii="Calibri" w:hAnsi="Calibri"/>
          <w:b/>
          <w:color w:val="525866"/>
          <w:sz w:val="22"/>
        </w:rPr>
        <w:t xml:space="preserve">Ongoing — WDC (direct peer) confirms &gt;25% exabyte CAGR outlook: </w:t>
      </w:r>
      <w:r>
        <w:rPr>
          <w:rFonts w:ascii="Calibri" w:hAnsi="Calibri"/>
          <w:color w:val="525866"/>
          <w:sz w:val="22"/>
        </w:rPr>
        <w:t xml:space="preserve">Western Digital at multiple conferences (JP Morgan May 18, Evercore June 3, BofA June 2) raised its exabyte growth outlook to "well above 25% CAGR" for the next 3-5 years, up from mid-teens in early 2025. WDC also confirmed 40TB ePMR drives in qualification ramping H2 2026 and 44TB HAMR drives ramping in H1 2027. </w:t>
      </w:r>
      <w:r>
        <w:rPr>
          <w:rFonts w:ascii="Calibri" w:hAnsi="Calibri"/>
          <w:b/>
          <w:color w:val="525866"/>
          <w:sz w:val="22"/>
        </w:rPr>
        <w:t xml:space="preserve">Implication: </w:t>
      </w:r>
      <w:r>
        <w:rPr>
          <w:rFonts w:ascii="Calibri" w:hAnsi="Calibri"/>
          <w:color w:val="525866"/>
          <w:sz w:val="22"/>
        </w:rPr>
        <w:t>Validates STX’s demand thesis; WDC’s slower HAMR ramp (vs. STX’s already-shipping Mozaic 4+) reinforces STX’s technology lead and near-term pricing power.</w:t>
      </w:r>
    </w:p>
    <w:p>
      <w:r>
        <w:br w:type="page"/>
      </w:r>
    </w:p>
    <w:p>
      <w:pPr>
        <w:pStyle w:val="Heading2"/>
      </w:pPr>
      <w:r>
        <w:rPr>
          <w:rFonts w:ascii="Calibri" w:hAnsi="Calibri"/>
          <w:b/>
          <w:color w:val="3B4259"/>
          <w:sz w:val="28"/>
        </w:rPr>
        <w:t>7. Peer Commentaries — Read-Through for Q4 FY2026 (Last 60 Days)</w:t>
      </w:r>
    </w:p>
    <w:p>
      <w:r>
        <w:rPr>
          <w:rFonts w:ascii="Calibri" w:hAnsi="Calibri"/>
          <w:b/>
          <w:color w:val="525866"/>
          <w:sz w:val="22"/>
        </w:rPr>
        <w:t xml:space="preserve">Key Takeaway: </w:t>
      </w:r>
      <w:r>
        <w:rPr>
          <w:rFonts w:ascii="Calibri" w:hAnsi="Calibri"/>
          <w:color w:val="525866"/>
          <w:sz w:val="22"/>
        </w:rPr>
        <w:t>Peer commentary from the last 60 days is uniformly bullish for STX’s Q4 FY2026 setup — WDC validated the &gt;25% exabyte CAGR demand outlook and confirmed pricing acceleration, while hyperscalers (MSFT, GOOGL, AMZN) all raised CapEx guidance and flagged storage as a constrained component. NTAP’s Q4 FY2026 earnings (May 28) showed broad-based enterprise IT demand strength and an uptick in hybrid flash (HDD-based) demand, an incremental positive for STX’s edge segment.</w:t>
      </w:r>
    </w:p>
    <w:p>
      <w:r>
        <w:rPr>
          <w:rFonts w:ascii="Calibri" w:hAnsi="Calibri"/>
          <w:i/>
          <w:color w:val="525866"/>
          <w:sz w:val="22"/>
        </w:rPr>
        <w:t>Note: Only commentary from the last 60 days (approximately May 28 – July 28, 2026) that is relevant to STX’s current reporting quarter (Q4 FY2026, ending June 30, 2026) or forward outlook is included below. Prior-quarter earnings commentary about prior-quarter results is excluded.</w:t>
      </w:r>
    </w:p>
    <w:p>
      <w:pPr>
        <w:pStyle w:val="Heading3"/>
      </w:pPr>
      <w:r>
        <w:rPr>
          <w:rFonts w:ascii="Calibri" w:hAnsi="Calibri"/>
          <w:b/>
          <w:color w:val="3B4259"/>
          <w:sz w:val="24"/>
        </w:rPr>
        <w:t>Western Digital (WDC) — Direct HDD Peer</w:t>
      </w:r>
    </w:p>
    <w:p>
      <w:r>
        <w:rPr>
          <w:rFonts w:ascii="Calibri" w:hAnsi="Calibri"/>
          <w:b/>
          <w:i/>
          <w:color w:val="525866"/>
          <w:sz w:val="22"/>
        </w:rPr>
        <w:t>JP Morgan Conference (May 18, 2026) | Evercore TMT Conference (June 3, 2026) | BofA Conference (June 2, 2026)</w:t>
      </w:r>
    </w:p>
    <w:p>
      <w:pPr>
        <w:pStyle w:val="ListBullet"/>
        <w:ind w:left="360" w:hanging="360"/>
      </w:pPr>
      <w:r>
        <w:rPr>
          <w:rFonts w:ascii="Calibri" w:hAnsi="Calibri"/>
          <w:b/>
          <w:color w:val="525866"/>
          <w:sz w:val="22"/>
        </w:rPr>
        <w:t xml:space="preserve">Exabyte demand outlook raised to &gt;25% CAGR: </w:t>
      </w:r>
      <w:r>
        <w:rPr>
          <w:rFonts w:ascii="Calibri" w:hAnsi="Calibri"/>
          <w:color w:val="525866"/>
          <w:sz w:val="22"/>
        </w:rPr>
        <w:t xml:space="preserve">WDC CFO Kris Sennesael stated at the Evercore conference: "we are getting more and more comfortable that the exabyte growth over the next 3 to 5 years will be greater than 25%." This was an upgrade from the mid-20s% CAGR guided at WDC’s February 2026 Innovation Day, itself a step up from mid-teens in early 2025. At the BofA conference, he noted "more and more conviction about the plus 25% exabyte growth." </w:t>
      </w:r>
      <w:r>
        <w:rPr>
          <w:rFonts w:ascii="Calibri" w:hAnsi="Calibri"/>
          <w:b/>
          <w:color w:val="525866"/>
          <w:sz w:val="22"/>
        </w:rPr>
        <w:t xml:space="preserve">Read-through for STX: </w:t>
      </w:r>
      <w:r>
        <w:rPr>
          <w:rFonts w:ascii="Calibri" w:hAnsi="Calibri"/>
          <w:color w:val="525866"/>
          <w:sz w:val="22"/>
        </w:rPr>
        <w:t>Directly validates STX’s demand thesis and supports the company’s mid-20s% exabyte growth target. Demand is tracking above both companies’ prior expectations.</w:t>
      </w:r>
    </w:p>
    <w:p>
      <w:pPr>
        <w:pStyle w:val="ListBullet"/>
        <w:ind w:left="360" w:hanging="360"/>
      </w:pPr>
      <w:r>
        <w:rPr>
          <w:rFonts w:ascii="Calibri" w:hAnsi="Calibri"/>
          <w:b/>
          <w:color w:val="525866"/>
          <w:sz w:val="22"/>
        </w:rPr>
        <w:t xml:space="preserve">Pricing acceleration confirmed: </w:t>
      </w:r>
      <w:r>
        <w:rPr>
          <w:rFonts w:ascii="Calibri" w:hAnsi="Calibri"/>
          <w:color w:val="525866"/>
          <w:sz w:val="22"/>
        </w:rPr>
        <w:t xml:space="preserve">WDC CFO noted ASP per terabyte was up 9% YoY last quarter and guided "high single to maybe potentially higher than that" for the rest of the year. At the JP Morgan conference, he stated pricing has moved from "mid- to high single digit" to "low double digit" increases. WDC’s value-based pricing strategy mirrors STX’s approach. </w:t>
      </w:r>
      <w:r>
        <w:rPr>
          <w:rFonts w:ascii="Calibri" w:hAnsi="Calibri"/>
          <w:b/>
          <w:color w:val="525866"/>
          <w:sz w:val="22"/>
        </w:rPr>
        <w:t xml:space="preserve">Read-through for STX: </w:t>
      </w:r>
      <w:r>
        <w:rPr>
          <w:rFonts w:ascii="Calibri" w:hAnsi="Calibri"/>
          <w:color w:val="525866"/>
          <w:sz w:val="22"/>
        </w:rPr>
        <w:t>Confirms the industry pricing environment is strengthening; STX’s consensus price/TB of $15.43 for Q4 FY2026 (vs. $14.68 in Q3) appears achievable given WDC’s commentary.</w:t>
      </w:r>
    </w:p>
    <w:p>
      <w:pPr>
        <w:pStyle w:val="ListBullet"/>
        <w:ind w:left="360" w:hanging="360"/>
      </w:pPr>
      <w:r>
        <w:rPr>
          <w:rFonts w:ascii="Calibri" w:hAnsi="Calibri"/>
          <w:b/>
          <w:color w:val="525866"/>
          <w:sz w:val="22"/>
        </w:rPr>
        <w:t xml:space="preserve">Supply remains tight; demand exceeds supply: </w:t>
      </w:r>
      <w:r>
        <w:rPr>
          <w:rFonts w:ascii="Calibri" w:hAnsi="Calibri"/>
          <w:color w:val="525866"/>
          <w:sz w:val="22"/>
        </w:rPr>
        <w:t xml:space="preserve">WDC CFO stated at BofA: "The supply is there, but it’s tight. It’s a very tight environment" and "everything what we ship today is getting deployed right away." Customers are placing purchase orders 52 weeks in advance and signing LTAs through 2032. </w:t>
      </w:r>
      <w:r>
        <w:rPr>
          <w:rFonts w:ascii="Calibri" w:hAnsi="Calibri"/>
          <w:b/>
          <w:color w:val="525866"/>
          <w:sz w:val="22"/>
        </w:rPr>
        <w:t xml:space="preserve">Read-through for STX: </w:t>
      </w:r>
      <w:r>
        <w:rPr>
          <w:rFonts w:ascii="Calibri" w:hAnsi="Calibri"/>
          <w:color w:val="525866"/>
          <w:sz w:val="22"/>
        </w:rPr>
        <w:t>Tight supply-demand supports STX’s nearline allocation strategy and pricing discipline; no risk of inventory build.</w:t>
      </w:r>
    </w:p>
    <w:p>
      <w:pPr>
        <w:pStyle w:val="ListBullet"/>
        <w:ind w:left="360" w:hanging="360"/>
      </w:pPr>
      <w:r>
        <w:rPr>
          <w:rFonts w:ascii="Calibri" w:hAnsi="Calibri"/>
          <w:b/>
          <w:color w:val="525866"/>
          <w:sz w:val="22"/>
        </w:rPr>
        <w:t xml:space="preserve">WDC’s HAMR ramp is behind STX: </w:t>
      </w:r>
      <w:r>
        <w:rPr>
          <w:rFonts w:ascii="Calibri" w:hAnsi="Calibri"/>
          <w:color w:val="525866"/>
          <w:sz w:val="22"/>
        </w:rPr>
        <w:t xml:space="preserve">WDC is still in qualification for its first-generation HAMR drives (44TB) with four customers, with volume ramp expected in H1 calendar 2027. STX, by contrast, has already begun revenue shipments of Mozaic 4+ (44TB) in late March 2026 and has two of the world’s largest CSPs qualified. </w:t>
      </w:r>
      <w:r>
        <w:rPr>
          <w:rFonts w:ascii="Calibri" w:hAnsi="Calibri"/>
          <w:b/>
          <w:color w:val="525866"/>
          <w:sz w:val="22"/>
        </w:rPr>
        <w:t xml:space="preserve">Read-through for STX: </w:t>
      </w:r>
      <w:r>
        <w:rPr>
          <w:rFonts w:ascii="Calibri" w:hAnsi="Calibri"/>
          <w:color w:val="525866"/>
          <w:sz w:val="22"/>
        </w:rPr>
        <w:t>STX’s HAMR technology lead is real and measurable — approximately 2-3 quarters ahead of WDC on HAMR commercialization, supporting STX’s premium margin profile and pricing power.</w:t>
      </w:r>
    </w:p>
    <w:p>
      <w:pPr>
        <w:pStyle w:val="ListBullet"/>
        <w:ind w:left="360" w:hanging="360"/>
      </w:pPr>
      <w:r>
        <w:rPr>
          <w:rFonts w:ascii="Calibri" w:hAnsi="Calibri"/>
          <w:b/>
          <w:color w:val="525866"/>
          <w:sz w:val="22"/>
        </w:rPr>
        <w:t xml:space="preserve">Gross margins entered "new zip code" starting with 50%: </w:t>
      </w:r>
      <w:r>
        <w:rPr>
          <w:rFonts w:ascii="Calibri" w:hAnsi="Calibri"/>
          <w:color w:val="525866"/>
          <w:sz w:val="22"/>
        </w:rPr>
        <w:t xml:space="preserve">WDC CFO confirmed at Evercore: "In the March quarter, we entered the new zip code, and we got into the 50% already." Incremental gross margins in the "70%, 75% range." WDC guided gross margins "greater than 50%" for the next 3-5 years. </w:t>
      </w:r>
      <w:r>
        <w:rPr>
          <w:rFonts w:ascii="Calibri" w:hAnsi="Calibri"/>
          <w:b/>
          <w:color w:val="525866"/>
          <w:sz w:val="22"/>
        </w:rPr>
        <w:t xml:space="preserve">Read-through for STX: </w:t>
      </w:r>
      <w:r>
        <w:rPr>
          <w:rFonts w:ascii="Calibri" w:hAnsi="Calibri"/>
          <w:color w:val="525866"/>
          <w:sz w:val="22"/>
        </w:rPr>
        <w:t>Industry-wide margin expansion is structural, not company-specific; validates STX’s ~50% Q4 gross margin guidance and the sustainability of the improvement trajectory.</w:t>
      </w:r>
    </w:p>
    <w:p>
      <w:pPr>
        <w:pStyle w:val="ListBullet"/>
        <w:ind w:left="360" w:hanging="360"/>
      </w:pPr>
      <w:r>
        <w:rPr>
          <w:rFonts w:ascii="Calibri" w:hAnsi="Calibri"/>
          <w:b/>
          <w:color w:val="525866"/>
          <w:sz w:val="22"/>
        </w:rPr>
        <w:t xml:space="preserve">No unit capacity additions; technology transitions drive exabyte growth: </w:t>
      </w:r>
      <w:r>
        <w:rPr>
          <w:rFonts w:ascii="Calibri" w:hAnsi="Calibri"/>
          <w:color w:val="525866"/>
          <w:sz w:val="22"/>
        </w:rPr>
        <w:t xml:space="preserve">WDC confirmed it is not adding unit capacity and is not building new factories. Exabyte growth of &gt;25% will be achieved entirely through technology transitions (ePMR to 40TB, then HAMR to 44TB+). </w:t>
      </w:r>
      <w:r>
        <w:rPr>
          <w:rFonts w:ascii="Calibri" w:hAnsi="Calibri"/>
          <w:b/>
          <w:color w:val="525866"/>
          <w:sz w:val="22"/>
        </w:rPr>
        <w:t xml:space="preserve">Read-through for STX: </w:t>
      </w:r>
      <w:r>
        <w:rPr>
          <w:rFonts w:ascii="Calibri" w:hAnsi="Calibri"/>
          <w:color w:val="525866"/>
          <w:sz w:val="22"/>
        </w:rPr>
        <w:t>Confirms the industry supply discipline that underpins STX’s pricing power; no risk of unit-driven oversupply.</w:t>
      </w:r>
    </w:p>
    <w:p>
      <w:pPr>
        <w:pStyle w:val="Heading3"/>
      </w:pPr>
      <w:r>
        <w:rPr>
          <w:rFonts w:ascii="Calibri" w:hAnsi="Calibri"/>
          <w:b/>
          <w:color w:val="3B4259"/>
          <w:sz w:val="24"/>
        </w:rPr>
        <w:t>NetApp (NTAP) — Enterprise Storage Peer</w:t>
      </w:r>
    </w:p>
    <w:p>
      <w:r>
        <w:rPr>
          <w:rFonts w:ascii="Calibri" w:hAnsi="Calibri"/>
          <w:b/>
          <w:i/>
          <w:color w:val="525866"/>
          <w:sz w:val="22"/>
        </w:rPr>
        <w:t>Q4 FY2026 Earnings Call (May 28, 2026) | BofA Conference (June 2, 2026)</w:t>
      </w:r>
    </w:p>
    <w:p>
      <w:pPr>
        <w:pStyle w:val="ListBullet"/>
        <w:ind w:left="360" w:hanging="360"/>
      </w:pPr>
      <w:r>
        <w:rPr>
          <w:rFonts w:ascii="Calibri" w:hAnsi="Calibri"/>
          <w:b/>
          <w:color w:val="525866"/>
          <w:sz w:val="22"/>
        </w:rPr>
        <w:t xml:space="preserve">Broad-based enterprise IT demand strength: </w:t>
      </w:r>
      <w:r>
        <w:rPr>
          <w:rFonts w:ascii="Calibri" w:hAnsi="Calibri"/>
          <w:color w:val="525866"/>
          <w:sz w:val="22"/>
        </w:rPr>
        <w:t xml:space="preserve">NTAP CEO George Kurian reported "record results across revenue, gross profit, operating income, cash flow from operations and free cash flow" in Q4 FY2026, supported by "strong customer demand." IT spending is "forecasted to be up strongly, driven by enterprises ready for AI." </w:t>
      </w:r>
      <w:r>
        <w:rPr>
          <w:rFonts w:ascii="Calibri" w:hAnsi="Calibri"/>
          <w:b/>
          <w:color w:val="525866"/>
          <w:sz w:val="22"/>
        </w:rPr>
        <w:t xml:space="preserve">Read-through for STX: </w:t>
      </w:r>
      <w:r>
        <w:rPr>
          <w:rFonts w:ascii="Calibri" w:hAnsi="Calibri"/>
          <w:color w:val="525866"/>
          <w:sz w:val="22"/>
        </w:rPr>
        <w:t>Enterprise IT spending acceleration is a positive read-through for STX’s enterprise nearline and edge segments; broad-based demand reduces concentration risk.</w:t>
      </w:r>
    </w:p>
    <w:p>
      <w:pPr>
        <w:pStyle w:val="ListBullet"/>
        <w:ind w:left="360" w:hanging="360"/>
      </w:pPr>
      <w:r>
        <w:rPr>
          <w:rFonts w:ascii="Calibri" w:hAnsi="Calibri"/>
          <w:b/>
          <w:color w:val="525866"/>
          <w:sz w:val="22"/>
        </w:rPr>
        <w:t xml:space="preserve">Hybrid flash (HDD-based) demand uptick: </w:t>
      </w:r>
      <w:r>
        <w:rPr>
          <w:rFonts w:ascii="Calibri" w:hAnsi="Calibri"/>
          <w:color w:val="525866"/>
          <w:sz w:val="22"/>
        </w:rPr>
        <w:t xml:space="preserve">NTAP noted at the BofA conference: "we also saw an uptick in the hybrid flash business, which is based on other types of media like the hard disk drive, which is interesting because in the prior several quarters, we have seen sort of more or less a steady decline." This uptick may be driven by rising all-flash (SSD) prices. </w:t>
      </w:r>
      <w:r>
        <w:rPr>
          <w:rFonts w:ascii="Calibri" w:hAnsi="Calibri"/>
          <w:b/>
          <w:color w:val="525866"/>
          <w:sz w:val="22"/>
        </w:rPr>
        <w:t xml:space="preserve">Read-through for STX: </w:t>
      </w:r>
      <w:r>
        <w:rPr>
          <w:rFonts w:ascii="Calibri" w:hAnsi="Calibri"/>
          <w:color w:val="525866"/>
          <w:sz w:val="22"/>
        </w:rPr>
        <w:t>Rising SSD prices are driving customers toward HDD-based hybrid flash solutions — directly positive for STX’s edge/low-capacity segment, which CFO Romano has highlighted as an incremental margin contributor in Q4 FY2026.</w:t>
      </w:r>
    </w:p>
    <w:p>
      <w:pPr>
        <w:pStyle w:val="ListBullet"/>
        <w:ind w:left="360" w:hanging="360"/>
      </w:pPr>
      <w:r>
        <w:rPr>
          <w:rFonts w:ascii="Calibri" w:hAnsi="Calibri"/>
          <w:b/>
          <w:color w:val="525866"/>
          <w:sz w:val="22"/>
        </w:rPr>
        <w:t xml:space="preserve">~500 AI wins in Q4 FY2026; enterprise AI activity accelerating: </w:t>
      </w:r>
      <w:r>
        <w:rPr>
          <w:rFonts w:ascii="Calibri" w:hAnsi="Calibri"/>
          <w:color w:val="525866"/>
          <w:sz w:val="22"/>
        </w:rPr>
        <w:t xml:space="preserve">NTAP recorded approximately 500 AI and data preparation wins in Q4 alone (1,100+ for full FY2026 vs. ~400 for all of FY2025). Use cases are ~50% data preparation, ~25% training/fine-tuning, ~25% inferencing. </w:t>
      </w:r>
      <w:r>
        <w:rPr>
          <w:rFonts w:ascii="Calibri" w:hAnsi="Calibri"/>
          <w:b/>
          <w:color w:val="525866"/>
          <w:sz w:val="22"/>
        </w:rPr>
        <w:t xml:space="preserve">Read-through for STX: </w:t>
      </w:r>
      <w:r>
        <w:rPr>
          <w:rFonts w:ascii="Calibri" w:hAnsi="Calibri"/>
          <w:color w:val="525866"/>
          <w:sz w:val="22"/>
        </w:rPr>
        <w:t>Enterprise AI adoption is accelerating across all workload types — data preparation and inferencing workloads are particularly storage-intensive, supporting STX’s long-term demand thesis.</w:t>
      </w:r>
    </w:p>
    <w:p>
      <w:pPr>
        <w:pStyle w:val="ListBullet"/>
        <w:ind w:left="360" w:hanging="360"/>
      </w:pPr>
      <w:r>
        <w:rPr>
          <w:rFonts w:ascii="Calibri" w:hAnsi="Calibri"/>
          <w:b/>
          <w:color w:val="525866"/>
          <w:sz w:val="22"/>
        </w:rPr>
        <w:t xml:space="preserve">FY2027 guidance implies 8% revenue growth; solid but conservative: </w:t>
      </w:r>
      <w:r>
        <w:rPr>
          <w:rFonts w:ascii="Calibri" w:hAnsi="Calibri"/>
          <w:color w:val="525866"/>
          <w:sz w:val="22"/>
        </w:rPr>
        <w:t xml:space="preserve">NTAP guided FY2027 revenue of $7.325-$7.575B (midpoint +8% YoY) and EPS of $8.70-$9.00 (+9% YoY). Q1 FY2027 (July quarter) is expected to be the trough for product gross margins, with gradual improvement thereafter as price increases flow through. </w:t>
      </w:r>
      <w:r>
        <w:rPr>
          <w:rFonts w:ascii="Calibri" w:hAnsi="Calibri"/>
          <w:b/>
          <w:color w:val="525866"/>
          <w:sz w:val="22"/>
        </w:rPr>
        <w:t xml:space="preserve">Read-through for STX: </w:t>
      </w:r>
      <w:r>
        <w:rPr>
          <w:rFonts w:ascii="Calibri" w:hAnsi="Calibri"/>
          <w:color w:val="525866"/>
          <w:sz w:val="22"/>
        </w:rPr>
        <w:t>NTAP’s conservative guide reflects component cost headwinds (NAND/DRAM) that do not affect STX; NTAP’s demand commentary is positive but its margin dynamics are different from STX’s.</w:t>
      </w:r>
    </w:p>
    <w:p>
      <w:pPr>
        <w:pStyle w:val="ListBullet"/>
        <w:ind w:left="360" w:hanging="360"/>
      </w:pPr>
      <w:r>
        <w:rPr>
          <w:rFonts w:ascii="Calibri" w:hAnsi="Calibri"/>
          <w:b/>
          <w:color w:val="525866"/>
          <w:sz w:val="22"/>
        </w:rPr>
        <w:t xml:space="preserve">Constrained supply environment; lead times extending: </w:t>
      </w:r>
      <w:r>
        <w:rPr>
          <w:rFonts w:ascii="Calibri" w:hAnsi="Calibri"/>
          <w:color w:val="525866"/>
          <w:sz w:val="22"/>
        </w:rPr>
        <w:t xml:space="preserve">NTAP CFO noted at BofA: "There’s no doubt we’re in a constrained supply environment. And there are — over the last couple of quarters, there’s — sometimes we experienced shortage in some areas, but also lead times are also extending." NTAP believes it can secure adequate supply for its FY2027 outlook. </w:t>
      </w:r>
      <w:r>
        <w:rPr>
          <w:rFonts w:ascii="Calibri" w:hAnsi="Calibri"/>
          <w:b/>
          <w:color w:val="525866"/>
          <w:sz w:val="22"/>
        </w:rPr>
        <w:t xml:space="preserve">Read-through for STX: </w:t>
      </w:r>
      <w:r>
        <w:rPr>
          <w:rFonts w:ascii="Calibri" w:hAnsi="Calibri"/>
          <w:color w:val="525866"/>
          <w:sz w:val="22"/>
        </w:rPr>
        <w:t>Constrained supply environment across storage components is consistent with STX’s nearline allocation strategy and supports pricing discipline.</w:t>
      </w:r>
    </w:p>
    <w:p>
      <w:pPr>
        <w:pStyle w:val="Heading3"/>
      </w:pPr>
      <w:r>
        <w:rPr>
          <w:rFonts w:ascii="Calibri" w:hAnsi="Calibri"/>
          <w:b/>
          <w:color w:val="3B4259"/>
          <w:sz w:val="24"/>
        </w:rPr>
        <w:t>Microsoft (MSFT) — Hyperscaler / Key Customer</w:t>
      </w:r>
    </w:p>
    <w:p>
      <w:r>
        <w:rPr>
          <w:rFonts w:ascii="Calibri" w:hAnsi="Calibri"/>
          <w:b/>
          <w:i/>
          <w:color w:val="525866"/>
          <w:sz w:val="22"/>
        </w:rPr>
        <w:t>Q3 FY2026 Earnings Call (April 29, 2026)</w:t>
      </w:r>
    </w:p>
    <w:p>
      <w:pPr>
        <w:pStyle w:val="ListBullet"/>
        <w:ind w:left="360" w:hanging="360"/>
      </w:pPr>
      <w:r>
        <w:rPr>
          <w:rFonts w:ascii="Calibri" w:hAnsi="Calibri"/>
          <w:b/>
          <w:color w:val="525866"/>
          <w:sz w:val="22"/>
        </w:rPr>
        <w:t xml:space="preserve">CapEx of $31.9B in Q3; guided &gt;$40B in Q4 with ~$5B from higher component pricing: </w:t>
      </w:r>
      <w:r>
        <w:rPr>
          <w:rFonts w:ascii="Calibri" w:hAnsi="Calibri"/>
          <w:color w:val="525866"/>
          <w:sz w:val="22"/>
        </w:rPr>
        <w:t xml:space="preserve">Microsoft CFO Amy Hood guided Q4 CapEx to "over $40 billion," with a sequential increase including "roughly $5 billion from higher component pricing." Full calendar year 2026 CapEx guided at ~$190B (including ~$25B from higher component pricing). </w:t>
      </w:r>
      <w:r>
        <w:rPr>
          <w:rFonts w:ascii="Calibri" w:hAnsi="Calibri"/>
          <w:b/>
          <w:color w:val="525866"/>
          <w:sz w:val="22"/>
        </w:rPr>
        <w:t xml:space="preserve">Read-through for STX: </w:t>
      </w:r>
      <w:r>
        <w:rPr>
          <w:rFonts w:ascii="Calibri" w:hAnsi="Calibri"/>
          <w:color w:val="525866"/>
          <w:sz w:val="22"/>
        </w:rPr>
        <w:t>Accelerating hyperscaler CapEx directly drives nearline HDD demand; higher component pricing (including storage) is being absorbed by hyperscalers, supporting STX’s pricing power.</w:t>
      </w:r>
    </w:p>
    <w:p>
      <w:pPr>
        <w:pStyle w:val="ListBullet"/>
        <w:ind w:left="360" w:hanging="360"/>
      </w:pPr>
      <w:r>
        <w:rPr>
          <w:rFonts w:ascii="Calibri" w:hAnsi="Calibri"/>
          <w:b/>
          <w:color w:val="525866"/>
          <w:sz w:val="22"/>
        </w:rPr>
        <w:t xml:space="preserve">Supply-constrained through 2026; storage explicitly mentioned: </w:t>
      </w:r>
      <w:r>
        <w:rPr>
          <w:rFonts w:ascii="Calibri" w:hAnsi="Calibri"/>
          <w:color w:val="525866"/>
          <w:sz w:val="22"/>
        </w:rPr>
        <w:t xml:space="preserve">Microsoft CFO stated: "Even with these additional investments and continued efforts to bring GPU, CPU and storage capacity online faster, we expect to remain constrained at least through 2026." She also noted confidence in "being able to get CPUs, GPUs, storage put in place to be able to start to support even better the demand signals." </w:t>
      </w:r>
      <w:r>
        <w:rPr>
          <w:rFonts w:ascii="Calibri" w:hAnsi="Calibri"/>
          <w:b/>
          <w:color w:val="525866"/>
          <w:sz w:val="22"/>
        </w:rPr>
        <w:t xml:space="preserve">Read-through for STX: </w:t>
      </w:r>
      <w:r>
        <w:rPr>
          <w:rFonts w:ascii="Calibri" w:hAnsi="Calibri"/>
          <w:color w:val="525866"/>
          <w:sz w:val="22"/>
        </w:rPr>
        <w:t>Storage is explicitly identified as a constrained component at Microsoft — directly positive for STX’s nearline allocation and pricing.</w:t>
      </w:r>
    </w:p>
    <w:p>
      <w:pPr>
        <w:pStyle w:val="ListBullet"/>
        <w:ind w:left="360" w:hanging="360"/>
      </w:pPr>
      <w:r>
        <w:rPr>
          <w:rFonts w:ascii="Calibri" w:hAnsi="Calibri"/>
          <w:b/>
          <w:color w:val="525866"/>
          <w:sz w:val="22"/>
        </w:rPr>
        <w:t xml:space="preserve">Azure growth guided 39-40% in Q4; AI business at $37B+ ARR: </w:t>
      </w:r>
      <w:r>
        <w:rPr>
          <w:rFonts w:ascii="Calibri" w:hAnsi="Calibri"/>
          <w:color w:val="525866"/>
          <w:sz w:val="22"/>
        </w:rPr>
        <w:t xml:space="preserve">Microsoft’s AI business surpassed $37B ARR (+123% YoY). Azure revenue growth guided 39-40% in Q4. Data stored in Fabric OneLake grew nearly 4x YoY. Work IQ spans 17+ exabytes of data, growing 35% YoY. </w:t>
      </w:r>
      <w:r>
        <w:rPr>
          <w:rFonts w:ascii="Calibri" w:hAnsi="Calibri"/>
          <w:b/>
          <w:color w:val="525866"/>
          <w:sz w:val="22"/>
        </w:rPr>
        <w:t xml:space="preserve">Read-through for STX: </w:t>
      </w:r>
      <w:r>
        <w:rPr>
          <w:rFonts w:ascii="Calibri" w:hAnsi="Calibri"/>
          <w:color w:val="525866"/>
          <w:sz w:val="22"/>
        </w:rPr>
        <w:t>Explosive data growth at Microsoft’s scale directly translates to nearline HDD demand; 35% YoY growth in exabytes stored is consistent with STX’s mid-20s% exabyte shipment growth target.</w:t>
      </w:r>
    </w:p>
    <w:p>
      <w:pPr>
        <w:pStyle w:val="Heading3"/>
      </w:pPr>
      <w:r>
        <w:rPr>
          <w:rFonts w:ascii="Calibri" w:hAnsi="Calibri"/>
          <w:b/>
          <w:color w:val="3B4259"/>
          <w:sz w:val="24"/>
        </w:rPr>
        <w:t>Alphabet / Google (GOOGL) — Hyperscaler / Key Customer</w:t>
      </w:r>
    </w:p>
    <w:p>
      <w:r>
        <w:rPr>
          <w:rFonts w:ascii="Calibri" w:hAnsi="Calibri"/>
          <w:b/>
          <w:i/>
          <w:color w:val="525866"/>
          <w:sz w:val="22"/>
        </w:rPr>
        <w:t>Q2 2026 Earnings Call (July 22, 2026)</w:t>
      </w:r>
    </w:p>
    <w:p>
      <w:pPr>
        <w:pStyle w:val="ListBullet"/>
        <w:ind w:left="360" w:hanging="360"/>
      </w:pPr>
      <w:r>
        <w:rPr>
          <w:rFonts w:ascii="Calibri" w:hAnsi="Calibri"/>
          <w:b/>
          <w:color w:val="525866"/>
          <w:sz w:val="22"/>
        </w:rPr>
        <w:t xml:space="preserve">CapEx raised to $195-$205B for full year 2026; CapEx to increase significantly in 2027: </w:t>
      </w:r>
      <w:r>
        <w:rPr>
          <w:rFonts w:ascii="Calibri" w:hAnsi="Calibri"/>
          <w:color w:val="525866"/>
          <w:sz w:val="22"/>
        </w:rPr>
        <w:t xml:space="preserve">Alphabet raised its full-year 2026 CapEx guidance to $195-$205B (up from $180-$190B), citing "an acceleration in the delivery of capacity to meet growing demand." The company also stated it expects CapEx to "increase significantly in 2027." Q2 CapEx was $44.9B, with ~60% in servers and ~40% in data centers and networking. </w:t>
      </w:r>
      <w:r>
        <w:rPr>
          <w:rFonts w:ascii="Calibri" w:hAnsi="Calibri"/>
          <w:b/>
          <w:color w:val="525866"/>
          <w:sz w:val="22"/>
        </w:rPr>
        <w:t xml:space="preserve">Read-through for STX: </w:t>
      </w:r>
      <w:r>
        <w:rPr>
          <w:rFonts w:ascii="Calibri" w:hAnsi="Calibri"/>
          <w:color w:val="525866"/>
          <w:sz w:val="22"/>
        </w:rPr>
        <w:t>Google’s accelerating CapEx and explicit statement of significantly higher 2027 CapEx is a strong forward demand signal for STX’s nearline HDD business; Google is one of STX’s largest customers.</w:t>
      </w:r>
    </w:p>
    <w:p>
      <w:pPr>
        <w:pStyle w:val="ListBullet"/>
        <w:ind w:left="360" w:hanging="360"/>
      </w:pPr>
      <w:r>
        <w:rPr>
          <w:rFonts w:ascii="Calibri" w:hAnsi="Calibri"/>
          <w:b/>
          <w:color w:val="525866"/>
          <w:sz w:val="22"/>
        </w:rPr>
        <w:t xml:space="preserve">Supply-constrained environment; expanding third-party capacity as bridge: </w:t>
      </w:r>
      <w:r>
        <w:rPr>
          <w:rFonts w:ascii="Calibri" w:hAnsi="Calibri"/>
          <w:color w:val="525866"/>
          <w:sz w:val="22"/>
        </w:rPr>
        <w:t xml:space="preserve">Alphabet CFO noted: "we are still in a supply constrained environment" and "the demand still outpaces that investment." Google plans to "expand the use of third party capacity in Q3 as a bridging strategy while we build out more internal capacity." </w:t>
      </w:r>
      <w:r>
        <w:rPr>
          <w:rFonts w:ascii="Calibri" w:hAnsi="Calibri"/>
          <w:b/>
          <w:color w:val="525866"/>
          <w:sz w:val="22"/>
        </w:rPr>
        <w:t xml:space="preserve">Read-through for STX: </w:t>
      </w:r>
      <w:r>
        <w:rPr>
          <w:rFonts w:ascii="Calibri" w:hAnsi="Calibri"/>
          <w:color w:val="525866"/>
          <w:sz w:val="22"/>
        </w:rPr>
        <w:t>Google’s supply constraints and bridging strategy confirm that demand for storage infrastructure is outpacing supply — directly supportive of STX’s nearline allocation and pricing.</w:t>
      </w:r>
    </w:p>
    <w:p>
      <w:pPr>
        <w:pStyle w:val="ListBullet"/>
        <w:ind w:left="360" w:hanging="360"/>
      </w:pPr>
      <w:r>
        <w:rPr>
          <w:rFonts w:ascii="Calibri" w:hAnsi="Calibri"/>
          <w:b/>
          <w:color w:val="525866"/>
          <w:sz w:val="22"/>
        </w:rPr>
        <w:t xml:space="preserve">Google Cloud backlog grew &gt;$50B sequentially to $514B: </w:t>
      </w:r>
      <w:r>
        <w:rPr>
          <w:rFonts w:ascii="Calibri" w:hAnsi="Calibri"/>
          <w:color w:val="525866"/>
          <w:sz w:val="22"/>
        </w:rPr>
        <w:t xml:space="preserve">Google Cloud’s backlog expanded by more than $50B sequentially to $514B, driven by "strong demand for enterprise AI offerings." Cloud revenue grew 82% YoY. </w:t>
      </w:r>
      <w:r>
        <w:rPr>
          <w:rFonts w:ascii="Calibri" w:hAnsi="Calibri"/>
          <w:b/>
          <w:color w:val="525866"/>
          <w:sz w:val="22"/>
        </w:rPr>
        <w:t xml:space="preserve">Read-through for STX: </w:t>
      </w:r>
      <w:r>
        <w:rPr>
          <w:rFonts w:ascii="Calibri" w:hAnsi="Calibri"/>
          <w:color w:val="525866"/>
          <w:sz w:val="22"/>
        </w:rPr>
        <w:t>Rapidly growing cloud backlog implies sustained multi-year demand for storage infrastructure; Google’s cloud growth trajectory is a leading indicator for STX’s nearline demand.</w:t>
      </w:r>
    </w:p>
    <w:p>
      <w:pPr>
        <w:pStyle w:val="Heading3"/>
      </w:pPr>
      <w:r>
        <w:rPr>
          <w:rFonts w:ascii="Calibri" w:hAnsi="Calibri"/>
          <w:b/>
          <w:color w:val="3B4259"/>
          <w:sz w:val="24"/>
        </w:rPr>
        <w:t>Amazon / AWS (AMZN) — Hyperscaler / Key Customer</w:t>
      </w:r>
    </w:p>
    <w:p>
      <w:r>
        <w:rPr>
          <w:rFonts w:ascii="Calibri" w:hAnsi="Calibri"/>
          <w:b/>
          <w:i/>
          <w:color w:val="525866"/>
          <w:sz w:val="22"/>
        </w:rPr>
        <w:t>Q1 2026 Earnings Call (April 29, 2026)</w:t>
      </w:r>
    </w:p>
    <w:p>
      <w:pPr>
        <w:pStyle w:val="ListBullet"/>
        <w:ind w:left="360" w:hanging="360"/>
      </w:pPr>
      <w:r>
        <w:rPr>
          <w:rFonts w:ascii="Calibri" w:hAnsi="Calibri"/>
          <w:b/>
          <w:color w:val="525866"/>
          <w:sz w:val="22"/>
        </w:rPr>
        <w:t xml:space="preserve">Q1 CapEx of $43.2B; expects significant capital investment over coming years: </w:t>
      </w:r>
      <w:r>
        <w:rPr>
          <w:rFonts w:ascii="Calibri" w:hAnsi="Calibri"/>
          <w:color w:val="525866"/>
          <w:sz w:val="22"/>
        </w:rPr>
        <w:t xml:space="preserve">Amazon spent $43.2B in Q1 CapEx, primarily for AWS and generative AI. CEO Andy Jassy stated: "I expect that we will invest a significant amount of capital over the coming years to pursue that opportunity." AWS backlog reached $364B (not including the &gt;$100B Anthropic deal). </w:t>
      </w:r>
      <w:r>
        <w:rPr>
          <w:rFonts w:ascii="Calibri" w:hAnsi="Calibri"/>
          <w:b/>
          <w:color w:val="525866"/>
          <w:sz w:val="22"/>
        </w:rPr>
        <w:t xml:space="preserve">Read-through for STX: </w:t>
      </w:r>
      <w:r>
        <w:rPr>
          <w:rFonts w:ascii="Calibri" w:hAnsi="Calibri"/>
          <w:color w:val="525866"/>
          <w:sz w:val="22"/>
        </w:rPr>
        <w:t>Amazon’s sustained and growing CapEx commitment is a multi-year demand tailwind for STX’s nearline HDD business.</w:t>
      </w:r>
    </w:p>
    <w:p>
      <w:pPr>
        <w:pStyle w:val="ListBullet"/>
        <w:ind w:left="360" w:hanging="360"/>
      </w:pPr>
      <w:r>
        <w:rPr>
          <w:rFonts w:ascii="Calibri" w:hAnsi="Calibri"/>
          <w:b/>
          <w:color w:val="525866"/>
          <w:sz w:val="22"/>
        </w:rPr>
        <w:t xml:space="preserve">Memory and storage costs have "skyrocketed"; Amazon secured supply proactively: </w:t>
      </w:r>
      <w:r>
        <w:rPr>
          <w:rFonts w:ascii="Calibri" w:hAnsi="Calibri"/>
          <w:color w:val="525866"/>
          <w:sz w:val="22"/>
        </w:rPr>
        <w:t xml:space="preserve">Amazon CFO noted: "the cost of these components, particularly memory has skyrocketed" and "we’re just in a stage where there’s just not enough capacity for the amount of demand." Amazon worked with strategic suppliers "since the middle to latter part of last year" to secure supply. </w:t>
      </w:r>
      <w:r>
        <w:rPr>
          <w:rFonts w:ascii="Calibri" w:hAnsi="Calibri"/>
          <w:b/>
          <w:color w:val="525866"/>
          <w:sz w:val="22"/>
        </w:rPr>
        <w:t xml:space="preserve">Read-through for STX: </w:t>
      </w:r>
      <w:r>
        <w:rPr>
          <w:rFonts w:ascii="Calibri" w:hAnsi="Calibri"/>
          <w:color w:val="525866"/>
          <w:sz w:val="22"/>
        </w:rPr>
        <w:t>Amazon’s proactive supply securing and acknowledgment of storage cost inflation directly validates STX’s pricing power narrative; Amazon is likely one of STX’s build-to-order contract customers.</w:t>
      </w:r>
    </w:p>
    <w:p>
      <w:pPr>
        <w:pStyle w:val="ListBullet"/>
        <w:ind w:left="360" w:hanging="360"/>
      </w:pPr>
      <w:r>
        <w:rPr>
          <w:rFonts w:ascii="Calibri" w:hAnsi="Calibri"/>
          <w:b/>
          <w:color w:val="525866"/>
          <w:sz w:val="22"/>
        </w:rPr>
        <w:t xml:space="preserve">Rising storage costs accelerating cloud migration: </w:t>
      </w:r>
      <w:r>
        <w:rPr>
          <w:rFonts w:ascii="Calibri" w:hAnsi="Calibri"/>
          <w:color w:val="525866"/>
          <w:sz w:val="22"/>
        </w:rPr>
        <w:t xml:space="preserve">Amazon noted that higher memory/storage prices are "a further impetus pushing companies who have on-premises infrastructure into the cloud," as cloud providers are prioritized by suppliers. This has "accelerated" cloud migration conversations. </w:t>
      </w:r>
      <w:r>
        <w:rPr>
          <w:rFonts w:ascii="Calibri" w:hAnsi="Calibri"/>
          <w:b/>
          <w:color w:val="525866"/>
          <w:sz w:val="22"/>
        </w:rPr>
        <w:t xml:space="preserve">Read-through for STX: </w:t>
      </w:r>
      <w:r>
        <w:rPr>
          <w:rFonts w:ascii="Calibri" w:hAnsi="Calibri"/>
          <w:color w:val="525866"/>
          <w:sz w:val="22"/>
        </w:rPr>
        <w:t>Cloud migration acceleration increases hyperscaler storage demand, which is STX’s primary end market (~80% of revenue).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sales since the Q3 FY2026 earnings print appear to be </w:t>
      </w:r>
      <w:r>
        <w:rPr>
          <w:rFonts w:ascii="Calibri" w:hAnsi="Calibri"/>
          <w:b/>
          <w:color w:val="525866"/>
          <w:sz w:val="22"/>
        </w:rPr>
        <w:t>10b5-1 plan-driven or routine RSU vesting-related</w:t>
      </w:r>
      <w:r>
        <w:rPr>
          <w:rFonts w:ascii="Calibri" w:hAnsi="Calibri"/>
          <w:color w:val="525866"/>
          <w:sz w:val="22"/>
        </w:rPr>
        <w:t xml:space="preserve"> — no discretionary open-market selling has been identified. The volume of sales is elevated but consistent with the stock’s sharp appreciation; the absence of any open-market buys is unremarkable given the stock’s run. No unusual or concerning insider signals.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Lee James CI</w:t>
            </w:r>
          </w:p>
        </w:tc>
        <w:tc>
          <w:tcPr>
            <w:tcW w:type="dxa" w:w="1440"/>
          </w:tcPr>
          <w:p>
            <w:r>
              <w:rPr>
                <w:rFonts w:ascii="Calibri" w:hAnsi="Calibri"/>
                <w:sz w:val="22"/>
              </w:rPr>
              <w:t>EVP &amp; CLO</w:t>
            </w:r>
          </w:p>
        </w:tc>
        <w:tc>
          <w:tcPr>
            <w:tcW w:type="dxa" w:w="1440"/>
          </w:tcPr>
          <w:p>
            <w:r>
              <w:rPr>
                <w:rFonts w:ascii="Calibri" w:hAnsi="Calibri"/>
                <w:sz w:val="22"/>
              </w:rPr>
              <w:t>Open Market Sale</w:t>
            </w:r>
          </w:p>
        </w:tc>
        <w:tc>
          <w:tcPr>
            <w:tcW w:type="dxa" w:w="1440"/>
          </w:tcPr>
          <w:p>
            <w:r>
              <w:rPr>
                <w:rFonts w:ascii="Calibri" w:hAnsi="Calibri"/>
                <w:sz w:val="22"/>
              </w:rPr>
              <w:t>542 shares</w:t>
            </w:r>
          </w:p>
        </w:tc>
        <w:tc>
          <w:tcPr>
            <w:tcW w:type="dxa" w:w="1440"/>
          </w:tcPr>
          <w:p>
            <w:r>
              <w:rPr>
                <w:rFonts w:ascii="Calibri" w:hAnsi="Calibri"/>
                <w:sz w:val="22"/>
              </w:rPr>
              <w:t>Jul 23, 2026</w:t>
            </w:r>
          </w:p>
        </w:tc>
        <w:tc>
          <w:tcPr>
            <w:tcW w:type="dxa" w:w="1440"/>
          </w:tcPr>
          <w:p>
            <w:r>
              <w:rPr>
                <w:rFonts w:ascii="Calibri" w:hAnsi="Calibri"/>
                <w:sz w:val="22"/>
              </w:rPr>
              <w:t>Discretionary sale (no 10b5-1 flag); small size relative to holdings (~1,019 shares post-sale)</w:t>
            </w:r>
          </w:p>
        </w:tc>
      </w:tr>
      <w:tr>
        <w:tc>
          <w:tcPr>
            <w:tcW w:type="dxa" w:w="1440"/>
          </w:tcPr>
          <w:p>
            <w:r>
              <w:rPr>
                <w:rFonts w:ascii="Calibri" w:hAnsi="Calibri"/>
                <w:sz w:val="22"/>
              </w:rPr>
              <w:t>MOSLEY WILLIAM D</w:t>
            </w:r>
          </w:p>
        </w:tc>
        <w:tc>
          <w:tcPr>
            <w:tcW w:type="dxa" w:w="1440"/>
          </w:tcPr>
          <w:p>
            <w:r>
              <w:rPr>
                <w:rFonts w:ascii="Calibri" w:hAnsi="Calibri"/>
                <w:sz w:val="22"/>
              </w:rPr>
              <w:t>CEO, Director</w:t>
            </w:r>
          </w:p>
        </w:tc>
        <w:tc>
          <w:tcPr>
            <w:tcW w:type="dxa" w:w="1440"/>
          </w:tcPr>
          <w:p>
            <w:r>
              <w:rPr>
                <w:rFonts w:ascii="Calibri" w:hAnsi="Calibri"/>
                <w:sz w:val="22"/>
              </w:rPr>
              <w:t>10b5-1 Planned Sale</w:t>
            </w:r>
          </w:p>
        </w:tc>
        <w:tc>
          <w:tcPr>
            <w:tcW w:type="dxa" w:w="1440"/>
          </w:tcPr>
          <w:p>
            <w:r>
              <w:rPr>
                <w:rFonts w:ascii="Calibri" w:hAnsi="Calibri"/>
                <w:sz w:val="22"/>
              </w:rPr>
              <w:t>30,000 shares (9,343 + 20,657)</w:t>
            </w:r>
          </w:p>
        </w:tc>
        <w:tc>
          <w:tcPr>
            <w:tcW w:type="dxa" w:w="1440"/>
          </w:tcPr>
          <w:p>
            <w:r>
              <w:rPr>
                <w:rFonts w:ascii="Calibri" w:hAnsi="Calibri"/>
                <w:sz w:val="22"/>
              </w:rPr>
              <w:t>Jul 1, 2026</w:t>
            </w:r>
          </w:p>
        </w:tc>
        <w:tc>
          <w:tcPr>
            <w:tcW w:type="dxa" w:w="1440"/>
          </w:tcPr>
          <w:p>
            <w:r>
              <w:rPr>
                <w:rFonts w:ascii="Calibri" w:hAnsi="Calibri"/>
                <w:sz w:val="22"/>
              </w:rPr>
              <w:t>10b5-1 plan; includes exercise of 14,000 NQ options; routine planned sale</w:t>
            </w:r>
          </w:p>
        </w:tc>
      </w:tr>
      <w:tr>
        <w:tc>
          <w:tcPr>
            <w:tcW w:type="dxa" w:w="1440"/>
          </w:tcPr>
          <w:p>
            <w:r>
              <w:rPr>
                <w:rFonts w:ascii="Calibri" w:hAnsi="Calibri"/>
                <w:sz w:val="22"/>
              </w:rPr>
              <w:t>Morris John Christopher</w:t>
            </w:r>
          </w:p>
        </w:tc>
        <w:tc>
          <w:tcPr>
            <w:tcW w:type="dxa" w:w="1440"/>
          </w:tcPr>
          <w:p>
            <w:r>
              <w:rPr>
                <w:rFonts w:ascii="Calibri" w:hAnsi="Calibri"/>
                <w:sz w:val="22"/>
              </w:rPr>
              <w:t>EVP &amp; CTO</w:t>
            </w:r>
          </w:p>
        </w:tc>
        <w:tc>
          <w:tcPr>
            <w:tcW w:type="dxa" w:w="1440"/>
          </w:tcPr>
          <w:p>
            <w:r>
              <w:rPr>
                <w:rFonts w:ascii="Calibri" w:hAnsi="Calibri"/>
                <w:sz w:val="22"/>
              </w:rPr>
              <w:t>10b5-1 Planned Sale</w:t>
            </w:r>
          </w:p>
        </w:tc>
        <w:tc>
          <w:tcPr>
            <w:tcW w:type="dxa" w:w="1440"/>
          </w:tcPr>
          <w:p>
            <w:r>
              <w:rPr>
                <w:rFonts w:ascii="Calibri" w:hAnsi="Calibri"/>
                <w:sz w:val="22"/>
              </w:rPr>
              <w:t>1,364 shares</w:t>
            </w:r>
          </w:p>
        </w:tc>
        <w:tc>
          <w:tcPr>
            <w:tcW w:type="dxa" w:w="1440"/>
          </w:tcPr>
          <w:p>
            <w:r>
              <w:rPr>
                <w:rFonts w:ascii="Calibri" w:hAnsi="Calibri"/>
                <w:sz w:val="22"/>
              </w:rPr>
              <w:t>Jun 12, 2026</w:t>
            </w:r>
          </w:p>
        </w:tc>
        <w:tc>
          <w:tcPr>
            <w:tcW w:type="dxa" w:w="1440"/>
          </w:tcPr>
          <w:p>
            <w:r>
              <w:rPr>
                <w:rFonts w:ascii="Calibri" w:hAnsi="Calibri"/>
                <w:sz w:val="22"/>
              </w:rPr>
              <w:t>10b5-1 plan; follows RSU vesting of 942 shares on Jun 11; routine</w:t>
            </w:r>
          </w:p>
        </w:tc>
      </w:tr>
      <w:tr>
        <w:tc>
          <w:tcPr>
            <w:tcW w:type="dxa" w:w="1440"/>
          </w:tcPr>
          <w:p>
            <w:r>
              <w:rPr>
                <w:rFonts w:ascii="Calibri" w:hAnsi="Calibri"/>
                <w:sz w:val="22"/>
              </w:rPr>
              <w:t>MOSLEY WILLIAM D</w:t>
            </w:r>
          </w:p>
        </w:tc>
        <w:tc>
          <w:tcPr>
            <w:tcW w:type="dxa" w:w="1440"/>
          </w:tcPr>
          <w:p>
            <w:r>
              <w:rPr>
                <w:rFonts w:ascii="Calibri" w:hAnsi="Calibri"/>
                <w:sz w:val="22"/>
              </w:rPr>
              <w:t>CEO, Director</w:t>
            </w:r>
          </w:p>
        </w:tc>
        <w:tc>
          <w:tcPr>
            <w:tcW w:type="dxa" w:w="1440"/>
          </w:tcPr>
          <w:p>
            <w:r>
              <w:rPr>
                <w:rFonts w:ascii="Calibri" w:hAnsi="Calibri"/>
                <w:sz w:val="22"/>
              </w:rPr>
              <w:t>Open Market Sale</w:t>
            </w:r>
          </w:p>
        </w:tc>
        <w:tc>
          <w:tcPr>
            <w:tcW w:type="dxa" w:w="1440"/>
          </w:tcPr>
          <w:p>
            <w:r>
              <w:rPr>
                <w:rFonts w:ascii="Calibri" w:hAnsi="Calibri"/>
                <w:sz w:val="22"/>
              </w:rPr>
              <w:t>1,768 shares</w:t>
            </w:r>
          </w:p>
        </w:tc>
        <w:tc>
          <w:tcPr>
            <w:tcW w:type="dxa" w:w="1440"/>
          </w:tcPr>
          <w:p>
            <w:r>
              <w:rPr>
                <w:rFonts w:ascii="Calibri" w:hAnsi="Calibri"/>
                <w:sz w:val="22"/>
              </w:rPr>
              <w:t>Jun 12, 2026</w:t>
            </w:r>
          </w:p>
        </w:tc>
        <w:tc>
          <w:tcPr>
            <w:tcW w:type="dxa" w:w="1440"/>
          </w:tcPr>
          <w:p>
            <w:r>
              <w:rPr>
                <w:rFonts w:ascii="Calibri" w:hAnsi="Calibri"/>
                <w:sz w:val="22"/>
              </w:rPr>
              <w:t>Non-10b5-1; follows RSU vesting of 3,319 shares on Jun 11; likely tax withholding-related</w:t>
            </w:r>
          </w:p>
        </w:tc>
      </w:tr>
      <w:tr>
        <w:tc>
          <w:tcPr>
            <w:tcW w:type="dxa" w:w="1440"/>
          </w:tcPr>
          <w:p>
            <w:r>
              <w:rPr>
                <w:rFonts w:ascii="Calibri" w:hAnsi="Calibri"/>
                <w:sz w:val="22"/>
              </w:rPr>
              <w:t>Romano Gianluca</w:t>
            </w:r>
          </w:p>
        </w:tc>
        <w:tc>
          <w:tcPr>
            <w:tcW w:type="dxa" w:w="1440"/>
          </w:tcPr>
          <w:p>
            <w:r>
              <w:rPr>
                <w:rFonts w:ascii="Calibri" w:hAnsi="Calibri"/>
                <w:sz w:val="22"/>
              </w:rPr>
              <w:t>EVP &amp; CFO</w:t>
            </w:r>
          </w:p>
        </w:tc>
        <w:tc>
          <w:tcPr>
            <w:tcW w:type="dxa" w:w="1440"/>
          </w:tcPr>
          <w:p>
            <w:r>
              <w:rPr>
                <w:rFonts w:ascii="Calibri" w:hAnsi="Calibri"/>
                <w:sz w:val="22"/>
              </w:rPr>
              <w:t>Open Market Sale</w:t>
            </w:r>
          </w:p>
        </w:tc>
        <w:tc>
          <w:tcPr>
            <w:tcW w:type="dxa" w:w="1440"/>
          </w:tcPr>
          <w:p>
            <w:r>
              <w:rPr>
                <w:rFonts w:ascii="Calibri" w:hAnsi="Calibri"/>
                <w:sz w:val="22"/>
              </w:rPr>
              <w:t>903 shares</w:t>
            </w:r>
          </w:p>
        </w:tc>
        <w:tc>
          <w:tcPr>
            <w:tcW w:type="dxa" w:w="1440"/>
          </w:tcPr>
          <w:p>
            <w:r>
              <w:rPr>
                <w:rFonts w:ascii="Calibri" w:hAnsi="Calibri"/>
                <w:sz w:val="22"/>
              </w:rPr>
              <w:t>Jun 12, 2026</w:t>
            </w:r>
          </w:p>
        </w:tc>
        <w:tc>
          <w:tcPr>
            <w:tcW w:type="dxa" w:w="1440"/>
          </w:tcPr>
          <w:p>
            <w:r>
              <w:rPr>
                <w:rFonts w:ascii="Calibri" w:hAnsi="Calibri"/>
                <w:sz w:val="22"/>
              </w:rPr>
              <w:t>Non-10b5-1; follows RSU vesting of 1,695 shares on Jun 11; likely tax withholding-related</w:t>
            </w:r>
          </w:p>
        </w:tc>
      </w:tr>
      <w:tr>
        <w:tc>
          <w:tcPr>
            <w:tcW w:type="dxa" w:w="1440"/>
          </w:tcPr>
          <w:p>
            <w:r>
              <w:rPr>
                <w:rFonts w:ascii="Calibri" w:hAnsi="Calibri"/>
                <w:sz w:val="22"/>
              </w:rPr>
              <w:t>Teh Ban Seng</w:t>
            </w:r>
          </w:p>
        </w:tc>
        <w:tc>
          <w:tcPr>
            <w:tcW w:type="dxa" w:w="1440"/>
          </w:tcPr>
          <w:p>
            <w:r>
              <w:rPr>
                <w:rFonts w:ascii="Calibri" w:hAnsi="Calibri"/>
                <w:sz w:val="22"/>
              </w:rPr>
              <w:t>EVP &amp; Chief Commercial Officer</w:t>
            </w:r>
          </w:p>
        </w:tc>
        <w:tc>
          <w:tcPr>
            <w:tcW w:type="dxa" w:w="1440"/>
          </w:tcPr>
          <w:p>
            <w:r>
              <w:rPr>
                <w:rFonts w:ascii="Calibri" w:hAnsi="Calibri"/>
                <w:sz w:val="22"/>
              </w:rPr>
              <w:t>10b5-1 Planned Sale</w:t>
            </w:r>
          </w:p>
        </w:tc>
        <w:tc>
          <w:tcPr>
            <w:tcW w:type="dxa" w:w="1440"/>
          </w:tcPr>
          <w:p>
            <w:r>
              <w:rPr>
                <w:rFonts w:ascii="Calibri" w:hAnsi="Calibri"/>
                <w:sz w:val="22"/>
              </w:rPr>
              <w:t>989 shares</w:t>
            </w:r>
          </w:p>
        </w:tc>
        <w:tc>
          <w:tcPr>
            <w:tcW w:type="dxa" w:w="1440"/>
          </w:tcPr>
          <w:p>
            <w:r>
              <w:rPr>
                <w:rFonts w:ascii="Calibri" w:hAnsi="Calibri"/>
                <w:sz w:val="22"/>
              </w:rPr>
              <w:t>Jun 12, 2026</w:t>
            </w:r>
          </w:p>
        </w:tc>
        <w:tc>
          <w:tcPr>
            <w:tcW w:type="dxa" w:w="1440"/>
          </w:tcPr>
          <w:p>
            <w:r>
              <w:rPr>
                <w:rFonts w:ascii="Calibri" w:hAnsi="Calibri"/>
                <w:sz w:val="22"/>
              </w:rPr>
              <w:t>10b5-1 plan; follows RSU vesting of 989 shares on Jun 11; routine</w:t>
            </w:r>
          </w:p>
        </w:tc>
      </w:tr>
      <w:tr>
        <w:tc>
          <w:tcPr>
            <w:tcW w:type="dxa" w:w="1440"/>
          </w:tcPr>
          <w:p>
            <w:r>
              <w:rPr>
                <w:rFonts w:ascii="Calibri" w:hAnsi="Calibri"/>
                <w:sz w:val="22"/>
              </w:rPr>
              <w:t>MOSLEY WILLIAM D</w:t>
            </w:r>
          </w:p>
        </w:tc>
        <w:tc>
          <w:tcPr>
            <w:tcW w:type="dxa" w:w="1440"/>
          </w:tcPr>
          <w:p>
            <w:r>
              <w:rPr>
                <w:rFonts w:ascii="Calibri" w:hAnsi="Calibri"/>
                <w:sz w:val="22"/>
              </w:rPr>
              <w:t>CEO, Director</w:t>
            </w:r>
          </w:p>
        </w:tc>
        <w:tc>
          <w:tcPr>
            <w:tcW w:type="dxa" w:w="1440"/>
          </w:tcPr>
          <w:p>
            <w:r>
              <w:rPr>
                <w:rFonts w:ascii="Calibri" w:hAnsi="Calibri"/>
                <w:sz w:val="22"/>
              </w:rPr>
              <w:t>10b5-1 Planned Sale</w:t>
            </w:r>
          </w:p>
        </w:tc>
        <w:tc>
          <w:tcPr>
            <w:tcW w:type="dxa" w:w="1440"/>
          </w:tcPr>
          <w:p>
            <w:r>
              <w:rPr>
                <w:rFonts w:ascii="Calibri" w:hAnsi="Calibri"/>
                <w:sz w:val="22"/>
              </w:rPr>
              <w:t>2,855 shares</w:t>
            </w:r>
          </w:p>
        </w:tc>
        <w:tc>
          <w:tcPr>
            <w:tcW w:type="dxa" w:w="1440"/>
          </w:tcPr>
          <w:p>
            <w:r>
              <w:rPr>
                <w:rFonts w:ascii="Calibri" w:hAnsi="Calibri"/>
                <w:sz w:val="22"/>
              </w:rPr>
              <w:t>Jun 10, 2026</w:t>
            </w:r>
          </w:p>
        </w:tc>
        <w:tc>
          <w:tcPr>
            <w:tcW w:type="dxa" w:w="1440"/>
          </w:tcPr>
          <w:p>
            <w:r>
              <w:rPr>
                <w:rFonts w:ascii="Calibri" w:hAnsi="Calibri"/>
                <w:sz w:val="22"/>
              </w:rPr>
              <w:t>10b5-1 plan; follows RSU vesting of 5,230 shares on Jun 9; routine</w:t>
            </w:r>
          </w:p>
        </w:tc>
      </w:tr>
      <w:tr>
        <w:tc>
          <w:tcPr>
            <w:tcW w:type="dxa" w:w="1440"/>
          </w:tcPr>
          <w:p>
            <w:r>
              <w:rPr>
                <w:rFonts w:ascii="Calibri" w:hAnsi="Calibri"/>
                <w:sz w:val="22"/>
              </w:rPr>
              <w:t>Romano Gianluca</w:t>
            </w:r>
          </w:p>
        </w:tc>
        <w:tc>
          <w:tcPr>
            <w:tcW w:type="dxa" w:w="1440"/>
          </w:tcPr>
          <w:p>
            <w:r>
              <w:rPr>
                <w:rFonts w:ascii="Calibri" w:hAnsi="Calibri"/>
                <w:sz w:val="22"/>
              </w:rPr>
              <w:t>EVP &amp; CFO</w:t>
            </w:r>
          </w:p>
        </w:tc>
        <w:tc>
          <w:tcPr>
            <w:tcW w:type="dxa" w:w="1440"/>
          </w:tcPr>
          <w:p>
            <w:r>
              <w:rPr>
                <w:rFonts w:ascii="Calibri" w:hAnsi="Calibri"/>
                <w:sz w:val="22"/>
              </w:rPr>
              <w:t>10b5-1 Planned Sale</w:t>
            </w:r>
          </w:p>
        </w:tc>
        <w:tc>
          <w:tcPr>
            <w:tcW w:type="dxa" w:w="1440"/>
          </w:tcPr>
          <w:p>
            <w:r>
              <w:rPr>
                <w:rFonts w:ascii="Calibri" w:hAnsi="Calibri"/>
                <w:sz w:val="22"/>
              </w:rPr>
              <w:t>1,351 shares</w:t>
            </w:r>
          </w:p>
        </w:tc>
        <w:tc>
          <w:tcPr>
            <w:tcW w:type="dxa" w:w="1440"/>
          </w:tcPr>
          <w:p>
            <w:r>
              <w:rPr>
                <w:rFonts w:ascii="Calibri" w:hAnsi="Calibri"/>
                <w:sz w:val="22"/>
              </w:rPr>
              <w:t>Jun 10, 2026</w:t>
            </w:r>
          </w:p>
        </w:tc>
        <w:tc>
          <w:tcPr>
            <w:tcW w:type="dxa" w:w="1440"/>
          </w:tcPr>
          <w:p>
            <w:r>
              <w:rPr>
                <w:rFonts w:ascii="Calibri" w:hAnsi="Calibri"/>
                <w:sz w:val="22"/>
              </w:rPr>
              <w:t>10b5-1 plan; follows RSU vesting of 2,474 shares on Jun 9; routine</w:t>
            </w:r>
          </w:p>
        </w:tc>
      </w:tr>
      <w:tr>
        <w:tc>
          <w:tcPr>
            <w:tcW w:type="dxa" w:w="1440"/>
          </w:tcPr>
          <w:p>
            <w:r>
              <w:rPr>
                <w:rFonts w:ascii="Calibri" w:hAnsi="Calibri"/>
                <w:sz w:val="22"/>
              </w:rPr>
              <w:t>Arumugavelu Shankar</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1,000 shares</w:t>
            </w:r>
          </w:p>
        </w:tc>
        <w:tc>
          <w:tcPr>
            <w:tcW w:type="dxa" w:w="1440"/>
          </w:tcPr>
          <w:p>
            <w:r>
              <w:rPr>
                <w:rFonts w:ascii="Calibri" w:hAnsi="Calibri"/>
                <w:sz w:val="22"/>
              </w:rPr>
              <w:t>Jun 4, 2026</w:t>
            </w:r>
          </w:p>
        </w:tc>
        <w:tc>
          <w:tcPr>
            <w:tcW w:type="dxa" w:w="1440"/>
          </w:tcPr>
          <w:p>
            <w:r>
              <w:rPr>
                <w:rFonts w:ascii="Calibri" w:hAnsi="Calibri"/>
                <w:sz w:val="22"/>
              </w:rPr>
              <w:t>Non-10b5-1; director sale; small size</w:t>
            </w:r>
          </w:p>
        </w:tc>
      </w:tr>
      <w:tr>
        <w:tc>
          <w:tcPr>
            <w:tcW w:type="dxa" w:w="1440"/>
          </w:tcPr>
          <w:p>
            <w:r>
              <w:rPr>
                <w:rFonts w:ascii="Calibri" w:hAnsi="Calibri"/>
                <w:sz w:val="22"/>
              </w:rPr>
              <w:t>BHATT PRAT</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1,000 shares</w:t>
            </w:r>
          </w:p>
        </w:tc>
        <w:tc>
          <w:tcPr>
            <w:tcW w:type="dxa" w:w="1440"/>
          </w:tcPr>
          <w:p>
            <w:r>
              <w:rPr>
                <w:rFonts w:ascii="Calibri" w:hAnsi="Calibri"/>
                <w:sz w:val="22"/>
              </w:rPr>
              <w:t>Jun 2, 2026</w:t>
            </w:r>
          </w:p>
        </w:tc>
        <w:tc>
          <w:tcPr>
            <w:tcW w:type="dxa" w:w="1440"/>
          </w:tcPr>
          <w:p>
            <w:r>
              <w:rPr>
                <w:rFonts w:ascii="Calibri" w:hAnsi="Calibri"/>
                <w:sz w:val="22"/>
              </w:rPr>
              <w:t>10b5-1 plan; routine director sale</w:t>
            </w:r>
          </w:p>
        </w:tc>
      </w:tr>
      <w:tr>
        <w:tc>
          <w:tcPr>
            <w:tcW w:type="dxa" w:w="1440"/>
          </w:tcPr>
          <w:p>
            <w:r>
              <w:rPr>
                <w:rFonts w:ascii="Calibri" w:hAnsi="Calibri"/>
                <w:sz w:val="22"/>
              </w:rPr>
              <w:t>Conyers Yolanda Lee</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750 shares</w:t>
            </w:r>
          </w:p>
        </w:tc>
        <w:tc>
          <w:tcPr>
            <w:tcW w:type="dxa" w:w="1440"/>
          </w:tcPr>
          <w:p>
            <w:r>
              <w:rPr>
                <w:rFonts w:ascii="Calibri" w:hAnsi="Calibri"/>
                <w:sz w:val="22"/>
              </w:rPr>
              <w:t>Jun 1, 2026</w:t>
            </w:r>
          </w:p>
        </w:tc>
        <w:tc>
          <w:tcPr>
            <w:tcW w:type="dxa" w:w="1440"/>
          </w:tcPr>
          <w:p>
            <w:r>
              <w:rPr>
                <w:rFonts w:ascii="Calibri" w:hAnsi="Calibri"/>
                <w:sz w:val="22"/>
              </w:rPr>
              <w:t>10b5-1 plan; routine director sale</w:t>
            </w:r>
          </w:p>
        </w:tc>
      </w:tr>
      <w:tr>
        <w:tc>
          <w:tcPr>
            <w:tcW w:type="dxa" w:w="1440"/>
          </w:tcPr>
          <w:p>
            <w:r>
              <w:rPr>
                <w:rFonts w:ascii="Calibri" w:hAnsi="Calibri"/>
                <w:sz w:val="22"/>
              </w:rPr>
              <w:t>MOSLEY WILLIAM D</w:t>
            </w:r>
          </w:p>
        </w:tc>
        <w:tc>
          <w:tcPr>
            <w:tcW w:type="dxa" w:w="1440"/>
          </w:tcPr>
          <w:p>
            <w:r>
              <w:rPr>
                <w:rFonts w:ascii="Calibri" w:hAnsi="Calibri"/>
                <w:sz w:val="22"/>
              </w:rPr>
              <w:t>CEO, Director</w:t>
            </w:r>
          </w:p>
        </w:tc>
        <w:tc>
          <w:tcPr>
            <w:tcW w:type="dxa" w:w="1440"/>
          </w:tcPr>
          <w:p>
            <w:r>
              <w:rPr>
                <w:rFonts w:ascii="Calibri" w:hAnsi="Calibri"/>
                <w:sz w:val="22"/>
              </w:rPr>
              <w:t>10b5-1 Planned Sale</w:t>
            </w:r>
          </w:p>
        </w:tc>
        <w:tc>
          <w:tcPr>
            <w:tcW w:type="dxa" w:w="1440"/>
          </w:tcPr>
          <w:p>
            <w:r>
              <w:rPr>
                <w:rFonts w:ascii="Calibri" w:hAnsi="Calibri"/>
                <w:sz w:val="22"/>
              </w:rPr>
              <w:t>13,780 shares</w:t>
            </w:r>
          </w:p>
        </w:tc>
        <w:tc>
          <w:tcPr>
            <w:tcW w:type="dxa" w:w="1440"/>
          </w:tcPr>
          <w:p>
            <w:r>
              <w:rPr>
                <w:rFonts w:ascii="Calibri" w:hAnsi="Calibri"/>
                <w:sz w:val="22"/>
              </w:rPr>
              <w:t>Jun 1, 2026</w:t>
            </w:r>
          </w:p>
        </w:tc>
        <w:tc>
          <w:tcPr>
            <w:tcW w:type="dxa" w:w="1440"/>
          </w:tcPr>
          <w:p>
            <w:r>
              <w:rPr>
                <w:rFonts w:ascii="Calibri" w:hAnsi="Calibri"/>
                <w:sz w:val="22"/>
              </w:rPr>
              <w:t>10b5-1 plan; includes exercise of 14,000 NQ options; routine planned sale</w:t>
            </w:r>
          </w:p>
        </w:tc>
      </w:tr>
      <w:tr>
        <w:tc>
          <w:tcPr>
            <w:tcW w:type="dxa" w:w="1440"/>
          </w:tcPr>
          <w:p>
            <w:r>
              <w:rPr>
                <w:rFonts w:ascii="Calibri" w:hAnsi="Calibri"/>
                <w:sz w:val="22"/>
              </w:rPr>
              <w:t>Romano Gianluca</w:t>
            </w:r>
          </w:p>
        </w:tc>
        <w:tc>
          <w:tcPr>
            <w:tcW w:type="dxa" w:w="1440"/>
          </w:tcPr>
          <w:p>
            <w:r>
              <w:rPr>
                <w:rFonts w:ascii="Calibri" w:hAnsi="Calibri"/>
                <w:sz w:val="22"/>
              </w:rPr>
              <w:t>EVP &amp; CFO</w:t>
            </w:r>
          </w:p>
        </w:tc>
        <w:tc>
          <w:tcPr>
            <w:tcW w:type="dxa" w:w="1440"/>
          </w:tcPr>
          <w:p>
            <w:r>
              <w:rPr>
                <w:rFonts w:ascii="Calibri" w:hAnsi="Calibri"/>
                <w:sz w:val="22"/>
              </w:rPr>
              <w:t>10b5-1 Planned Sale</w:t>
            </w:r>
          </w:p>
        </w:tc>
        <w:tc>
          <w:tcPr>
            <w:tcW w:type="dxa" w:w="1440"/>
          </w:tcPr>
          <w:p>
            <w:r>
              <w:rPr>
                <w:rFonts w:ascii="Calibri" w:hAnsi="Calibri"/>
                <w:sz w:val="22"/>
              </w:rPr>
              <w:t>22,488 + 1,902 shares</w:t>
            </w:r>
          </w:p>
        </w:tc>
        <w:tc>
          <w:tcPr>
            <w:tcW w:type="dxa" w:w="1440"/>
          </w:tcPr>
          <w:p>
            <w:r>
              <w:rPr>
                <w:rFonts w:ascii="Calibri" w:hAnsi="Calibri"/>
                <w:sz w:val="22"/>
              </w:rPr>
              <w:t>May 6–7, 2026</w:t>
            </w:r>
          </w:p>
        </w:tc>
        <w:tc>
          <w:tcPr>
            <w:tcW w:type="dxa" w:w="1440"/>
          </w:tcPr>
          <w:p>
            <w:r>
              <w:rPr>
                <w:rFonts w:ascii="Calibri" w:hAnsi="Calibri"/>
                <w:sz w:val="22"/>
              </w:rPr>
              <w:t>10b5-1 plan; large sale immediately post-earnings; routine planned sale</w:t>
            </w:r>
          </w:p>
        </w:tc>
      </w:tr>
      <w:tr>
        <w:tc>
          <w:tcPr>
            <w:tcW w:type="dxa" w:w="1440"/>
          </w:tcPr>
          <w:p>
            <w:r>
              <w:rPr>
                <w:rFonts w:ascii="Calibri" w:hAnsi="Calibri"/>
                <w:sz w:val="22"/>
              </w:rPr>
              <w:t>Teh Ban Seng</w:t>
            </w:r>
          </w:p>
        </w:tc>
        <w:tc>
          <w:tcPr>
            <w:tcW w:type="dxa" w:w="1440"/>
          </w:tcPr>
          <w:p>
            <w:r>
              <w:rPr>
                <w:rFonts w:ascii="Calibri" w:hAnsi="Calibri"/>
                <w:sz w:val="22"/>
              </w:rPr>
              <w:t>EVP &amp; Chief Commercial Officer</w:t>
            </w:r>
          </w:p>
        </w:tc>
        <w:tc>
          <w:tcPr>
            <w:tcW w:type="dxa" w:w="1440"/>
          </w:tcPr>
          <w:p>
            <w:r>
              <w:rPr>
                <w:rFonts w:ascii="Calibri" w:hAnsi="Calibri"/>
                <w:sz w:val="22"/>
              </w:rPr>
              <w:t>10b5-1 Planned Sale</w:t>
            </w:r>
          </w:p>
        </w:tc>
        <w:tc>
          <w:tcPr>
            <w:tcW w:type="dxa" w:w="1440"/>
          </w:tcPr>
          <w:p>
            <w:r>
              <w:rPr>
                <w:rFonts w:ascii="Calibri" w:hAnsi="Calibri"/>
                <w:sz w:val="22"/>
              </w:rPr>
              <w:t>7,557 + 8,003 shares</w:t>
            </w:r>
          </w:p>
        </w:tc>
        <w:tc>
          <w:tcPr>
            <w:tcW w:type="dxa" w:w="1440"/>
          </w:tcPr>
          <w:p>
            <w:r>
              <w:rPr>
                <w:rFonts w:ascii="Calibri" w:hAnsi="Calibri"/>
                <w:sz w:val="22"/>
              </w:rPr>
              <w:t>May 13–14, 2026</w:t>
            </w:r>
          </w:p>
        </w:tc>
        <w:tc>
          <w:tcPr>
            <w:tcW w:type="dxa" w:w="1440"/>
          </w:tcPr>
          <w:p>
            <w:r>
              <w:rPr>
                <w:rFonts w:ascii="Calibri" w:hAnsi="Calibri"/>
                <w:sz w:val="22"/>
              </w:rPr>
              <w:t>10b5-1 plan; includes option exercise; routine planned sale</w:t>
            </w:r>
          </w:p>
        </w:tc>
      </w:tr>
    </w:tbl>
    <w:p>
      <w:r>
        <w:rPr>
          <w:rFonts w:ascii="Calibri" w:hAnsi="Calibri"/>
          <w:color w:val="525866"/>
          <w:sz w:val="22"/>
        </w:rPr>
        <w:t>The overwhelming majority of insider transactions since the Q3 FY2026 earnings print are 10b5-1 plan-driven or RSU vesting-related sales — consistent with routine compensation plan execution at elevated stock prices. CEO Mosley’s July 1 sale of 30,000 shares was under a 10b5-1 plan and included option exercises. CFO Romano’s large May sales (24,390 shares) were also 10b5-1 plan-driven. The small discretionary sale by CLO Lee James CI (542 shares on July 23) is immaterial. No open-market buys have been filed, which is unremarkable given the stock’s ~41% appreciation since earnings. Overall, insider activity does not signal any concern about the upcoming print.</w:t>
      </w:r>
    </w:p>
    <w:p>
      <w:r>
        <w:rPr>
          <w:rFonts w:ascii="Calibri" w:hAnsi="Calibri"/>
          <w:i/>
          <w:color w:val="525866"/>
          <w:sz w:val="22"/>
        </w:rPr>
        <w:t>Source: Insider Transaction Data (SEC Form 4 filings). Open-market buys (code P) and sells (code S) plus 10b5-1 plan initiations. Period: April 28, 2026 – July 28,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