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Seagate Technology Holdings (STX)</w:t>
      </w:r>
    </w:p>
    <w:p>
      <w:pPr>
        <w:pStyle w:val="Heading2"/>
      </w:pPr>
      <w:r>
        <w:rPr>
          <w:rFonts w:ascii="Calibri" w:hAnsi="Calibri"/>
          <w:b/>
          <w:color w:val="3B4259"/>
          <w:sz w:val="28"/>
        </w:rPr>
        <w:t>Fiscal Q4 2026 Earnings Preview</w:t>
      </w:r>
    </w:p>
    <w:p>
      <w:r>
        <w:rPr>
          <w:rFonts w:ascii="Calibri" w:hAnsi="Calibri"/>
          <w:b/>
          <w:color w:val="525866"/>
          <w:sz w:val="22"/>
        </w:rPr>
        <w:t xml:space="preserve">Earnings Date: </w:t>
      </w:r>
      <w:r>
        <w:rPr>
          <w:rFonts w:ascii="Calibri" w:hAnsi="Calibri"/>
          <w:color w:val="525866"/>
          <w:sz w:val="22"/>
        </w:rPr>
        <w:t xml:space="preserve">July 28, 2026 (After Market Close)   </w:t>
      </w:r>
      <w:r>
        <w:rPr>
          <w:rFonts w:ascii="Calibri" w:hAnsi="Calibri"/>
          <w:b/>
          <w:color w:val="525866"/>
          <w:sz w:val="22"/>
        </w:rPr>
        <w:t xml:space="preserve">Prepared: </w:t>
      </w:r>
      <w:r>
        <w:rPr>
          <w:rFonts w:ascii="Calibri" w:hAnsi="Calibri"/>
          <w:color w:val="525866"/>
          <w:sz w:val="22"/>
        </w:rPr>
        <w:t xml:space="preserve">July 28, 2026   </w:t>
      </w:r>
      <w:r>
        <w:rPr>
          <w:rFonts w:ascii="Calibri" w:hAnsi="Calibri"/>
          <w:b/>
          <w:color w:val="525866"/>
          <w:sz w:val="22"/>
        </w:rPr>
        <w:t xml:space="preserve">Reporting Period: </w:t>
      </w:r>
      <w:r>
        <w:rPr>
          <w:rFonts w:ascii="Calibri" w:hAnsi="Calibri"/>
          <w:color w:val="525866"/>
          <w:sz w:val="22"/>
        </w:rPr>
        <w:t>Fiscal Q4 2026 (Quarter Ended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sits below guidance midpoint on EPS, management has consistently outperformed its own guidance for 13 consecutive quarters, and the single biggest swing factor is whether gross margin can sustain or exceed the guided ~50% level as Mozaic 4+ ramps.</w:t>
      </w:r>
    </w:p>
    <w:p>
      <w:r>
        <w:rPr>
          <w:rFonts w:ascii="Calibri" w:hAnsi="Calibri"/>
          <w:b/>
          <w:color w:val="525866"/>
          <w:sz w:val="22"/>
        </w:rPr>
        <w:t xml:space="preserve">Bar: </w:t>
      </w:r>
      <w:r>
        <w:rPr>
          <w:rFonts w:ascii="Calibri" w:hAnsi="Calibri"/>
          <w:color w:val="525866"/>
          <w:sz w:val="22"/>
        </w:rPr>
        <w:t xml:space="preserve">Consensus EPS of ~$5.12 sits modestly above the guidance midpoint of $5.00, but the pattern of the last several quarters — where actuals have consistently exceeded the high end of guidance — suggests the bar may still be beatable. Revenue consensus of ~$3.50B is slightly above the $3.45B midpoint, implying the Street has already baked in a modest beat. </w:t>
      </w:r>
      <w:r>
        <w:rPr>
          <w:rFonts w:ascii="Calibri" w:hAnsi="Calibri"/>
          <w:b/>
          <w:color w:val="525866"/>
          <w:sz w:val="22"/>
        </w:rPr>
        <w:t xml:space="preserve">Guidance/Tone: </w:t>
      </w:r>
      <w:r>
        <w:rPr>
          <w:rFonts w:ascii="Calibri" w:hAnsi="Calibri"/>
          <w:color w:val="525866"/>
          <w:sz w:val="22"/>
        </w:rPr>
        <w:t xml:space="preserve">Management's posture has only grown more confident since the April 28 Q3 print — at the JP Morgan (May 18), TD Cowen (May 27), and Bank of America (June 2) conferences, CFO Gianluca Romano and CEO Dave Mosley reiterated that demand is "only getting stronger," that every quarter through fiscal 2027 will show sequential revenue and profit growth, and that there is "no gross margin ceiling." </w:t>
      </w:r>
      <w:r>
        <w:rPr>
          <w:rFonts w:ascii="Calibri" w:hAnsi="Calibri"/>
          <w:b/>
          <w:color w:val="525866"/>
          <w:sz w:val="22"/>
        </w:rPr>
        <w:t xml:space="preserve">Estimate Trajectory: </w:t>
      </w:r>
      <w:r>
        <w:rPr>
          <w:rFonts w:ascii="Calibri" w:hAnsi="Calibri"/>
          <w:color w:val="525866"/>
          <w:sz w:val="22"/>
        </w:rPr>
        <w:t xml:space="preserve">EPS estimates for Q4 FY2026 rose from ~$4.80 post-Q3 earnings to ~$4.86 by late July, a modest upward drift that tracks management's bullish tone but has not fully priced in the incremental margin upside management has been signaling. </w:t>
      </w:r>
      <w:r>
        <w:rPr>
          <w:rFonts w:ascii="Calibri" w:hAnsi="Calibri"/>
          <w:b/>
          <w:color w:val="525866"/>
          <w:sz w:val="22"/>
        </w:rPr>
        <w:t xml:space="preserve">Stock Setup: </w:t>
      </w:r>
      <w:r>
        <w:rPr>
          <w:rFonts w:ascii="Calibri" w:hAnsi="Calibri"/>
          <w:color w:val="525866"/>
          <w:sz w:val="22"/>
        </w:rPr>
        <w:t xml:space="preserve">STX has rallied ~41% since the Q3 print (April 28 close ~$579 → ~$817 as of July 28), significantly outperforming SMH (+12%) and SPY (+4%). The stock peaked near $1,094 in late June before pulling back ~25%, partly on China chip-sector noise (CXMT IPO, July 27). At ~28–29x NTM P/E, the multiple has expanded meaningfully but is not extreme given the structural margin story. </w:t>
      </w:r>
      <w:r>
        <w:rPr>
          <w:rFonts w:ascii="Calibri" w:hAnsi="Calibri"/>
          <w:b/>
          <w:color w:val="525866"/>
          <w:sz w:val="22"/>
        </w:rPr>
        <w:t xml:space="preserve">Wildcard: </w:t>
      </w:r>
      <w:r>
        <w:rPr>
          <w:rFonts w:ascii="Calibri" w:hAnsi="Calibri"/>
          <w:color w:val="525866"/>
          <w:sz w:val="22"/>
        </w:rPr>
        <w:t>The single biggest surprise risk — in either direction — is the gross margin print and Q1 FY2027 guidance. If Q4 gross margin clears 50% and management guides Q1 FY2027 above Street at ~50%+, the stock likely re-rates higher. Conversely, any softening in nearline demand commentary or a delay in Mozaic 4+ qualification at the remaining two CSPs could pressure the stock despite a headline beat.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modestly high bar on revenue but a potentially low bar on gross margin and EPS — management has beaten its own EPS guidance by 10–17% in recent quarters. </w:t>
      </w:r>
      <w:r>
        <w:rPr>
          <w:rFonts w:ascii="Calibri" w:hAnsi="Calibri"/>
          <w:b/>
          <w:color w:val="525866"/>
          <w:sz w:val="22"/>
        </w:rPr>
        <w:t>Non-GAAP gross margin is the bigger swing factor</w:t>
      </w:r>
      <w:r>
        <w:rPr>
          <w:rFonts w:ascii="Calibri" w:hAnsi="Calibri"/>
          <w:color w:val="525866"/>
          <w:sz w:val="22"/>
        </w:rPr>
        <w:t>: every 100bps of upside vs. the ~50% guide translates to ~$35M of incremental gross profit at the guided revenue midpoint.</w:t>
      </w:r>
    </w:p>
    <w:p>
      <w:pPr>
        <w:pStyle w:val="Heading3"/>
      </w:pPr>
      <w:r>
        <w:rPr>
          <w:rFonts w:ascii="Calibri" w:hAnsi="Calibri"/>
          <w:b/>
          <w:color w:val="3B4259"/>
          <w:sz w:val="24"/>
        </w:rPr>
        <w:t>Table 1 — Current Quarter Snapshot (Fiscal Q4 2026, Quarter Ending June 30,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(Q3 FY2026)</w:t>
            </w:r>
          </w:p>
        </w:tc>
        <w:tc>
          <w:tcPr>
            <w:tcW w:type="dxa" w:w="1234"/>
          </w:tcPr>
          <w:p>
            <w:r>
              <w:rPr>
                <w:rFonts w:ascii="Calibri" w:hAnsi="Calibri"/>
                <w:b/>
                <w:sz w:val="22"/>
              </w:rPr>
              <w:t>Prior Year Period (Q4 FY2025)</w:t>
            </w:r>
          </w:p>
        </w:tc>
        <w:tc>
          <w:tcPr>
            <w:tcW w:type="dxa" w:w="1234"/>
          </w:tcPr>
          <w:p>
            <w:r>
              <w:rPr>
                <w:rFonts w:ascii="Calibri" w:hAnsi="Calibri"/>
                <w:b/>
                <w:sz w:val="22"/>
              </w:rPr>
              <w:t>Q4 FY2026 Consensus Estimate</w:t>
            </w:r>
          </w:p>
        </w:tc>
        <w:tc>
          <w:tcPr>
            <w:tcW w:type="dxa" w:w="1234"/>
          </w:tcPr>
          <w:p>
            <w:r>
              <w:rPr>
                <w:rFonts w:ascii="Calibri" w:hAnsi="Calibri"/>
                <w:b/>
                <w:sz w:val="22"/>
              </w:rPr>
              <w:t>YoY Change</w:t>
            </w:r>
          </w:p>
        </w:tc>
        <w:tc>
          <w:tcPr>
            <w:tcW w:type="dxa" w:w="1234"/>
          </w:tcPr>
          <w:p>
            <w:r>
              <w:rPr>
                <w:rFonts w:ascii="Calibri" w:hAnsi="Calibri"/>
                <w:b/>
                <w:sz w:val="22"/>
              </w:rPr>
              <w:t>Q4 FY2026 Guidance (Midpoint)</w:t>
            </w:r>
          </w:p>
        </w:tc>
        <w:tc>
          <w:tcPr>
            <w:tcW w:type="dxa" w:w="1234"/>
          </w:tcPr>
          <w:p>
            <w:r>
              <w:rPr>
                <w:rFonts w:ascii="Calibri" w:hAnsi="Calibri"/>
                <w:b/>
                <w:sz w:val="22"/>
              </w:rPr>
              <w:t>Consensus vs. Guidance (%Δ)</w:t>
            </w:r>
          </w:p>
        </w:tc>
      </w:tr>
      <w:tr>
        <w:tc>
          <w:tcPr>
            <w:tcW w:type="dxa" w:w="1234"/>
          </w:tcPr>
          <w:p>
            <w:r>
              <w:rPr>
                <w:rFonts w:ascii="Calibri" w:hAnsi="Calibri"/>
                <w:sz w:val="22"/>
              </w:rPr>
              <w:t>Revenue ($B)</w:t>
            </w:r>
          </w:p>
        </w:tc>
        <w:tc>
          <w:tcPr>
            <w:tcW w:type="dxa" w:w="1234"/>
          </w:tcPr>
          <w:p>
            <w:r>
              <w:rPr>
                <w:rFonts w:ascii="Calibri" w:hAnsi="Calibri"/>
                <w:sz w:val="22"/>
              </w:rPr>
              <w:t>$3.112B</w:t>
            </w:r>
          </w:p>
        </w:tc>
        <w:tc>
          <w:tcPr>
            <w:tcW w:type="dxa" w:w="1234"/>
          </w:tcPr>
          <w:p>
            <w:r>
              <w:rPr>
                <w:rFonts w:ascii="Calibri" w:hAnsi="Calibri"/>
                <w:sz w:val="22"/>
              </w:rPr>
              <w:t>$2.444B</w:t>
            </w:r>
          </w:p>
        </w:tc>
        <w:tc>
          <w:tcPr>
            <w:tcW w:type="dxa" w:w="1234"/>
          </w:tcPr>
          <w:p>
            <w:r>
              <w:rPr>
                <w:rFonts w:ascii="Calibri" w:hAnsi="Calibri"/>
                <w:sz w:val="22"/>
              </w:rPr>
              <w:t>$3.502B</w:t>
            </w:r>
          </w:p>
        </w:tc>
        <w:tc>
          <w:tcPr>
            <w:tcW w:type="dxa" w:w="1234"/>
          </w:tcPr>
          <w:p>
            <w:r>
              <w:rPr>
                <w:rFonts w:ascii="Calibri" w:hAnsi="Calibri"/>
                <w:sz w:val="22"/>
              </w:rPr>
              <w:t>+43.3%</w:t>
            </w:r>
          </w:p>
        </w:tc>
        <w:tc>
          <w:tcPr>
            <w:tcW w:type="dxa" w:w="1234"/>
          </w:tcPr>
          <w:p>
            <w:r>
              <w:rPr>
                <w:rFonts w:ascii="Calibri" w:hAnsi="Calibri"/>
                <w:sz w:val="22"/>
              </w:rPr>
              <w:t>$3.450B</w:t>
            </w:r>
          </w:p>
        </w:tc>
        <w:tc>
          <w:tcPr>
            <w:tcW w:type="dxa" w:w="1234"/>
          </w:tcPr>
          <w:p>
            <w:r>
              <w:rPr>
                <w:rFonts w:ascii="Calibri" w:hAnsi="Calibri"/>
                <w:sz w:val="22"/>
              </w:rPr>
              <w:t>+1.5%</w:t>
            </w:r>
          </w:p>
        </w:tc>
      </w:tr>
      <w:tr>
        <w:tc>
          <w:tcPr>
            <w:tcW w:type="dxa" w:w="1234"/>
          </w:tcPr>
          <w:p>
            <w:r>
              <w:rPr>
                <w:rFonts w:ascii="Calibri" w:hAnsi="Calibri"/>
                <w:sz w:val="22"/>
              </w:rPr>
              <w:t>Non-GAAP EPS (Diluted)</w:t>
            </w:r>
          </w:p>
        </w:tc>
        <w:tc>
          <w:tcPr>
            <w:tcW w:type="dxa" w:w="1234"/>
          </w:tcPr>
          <w:p>
            <w:r>
              <w:rPr>
                <w:rFonts w:ascii="Calibri" w:hAnsi="Calibri"/>
                <w:sz w:val="22"/>
              </w:rPr>
              <w:t>$4.10</w:t>
            </w:r>
          </w:p>
        </w:tc>
        <w:tc>
          <w:tcPr>
            <w:tcW w:type="dxa" w:w="1234"/>
          </w:tcPr>
          <w:p>
            <w:r>
              <w:rPr>
                <w:rFonts w:ascii="Calibri" w:hAnsi="Calibri"/>
                <w:sz w:val="22"/>
              </w:rPr>
              <w:t>$2.59</w:t>
            </w:r>
          </w:p>
        </w:tc>
        <w:tc>
          <w:tcPr>
            <w:tcW w:type="dxa" w:w="1234"/>
          </w:tcPr>
          <w:p>
            <w:r>
              <w:rPr>
                <w:rFonts w:ascii="Calibri" w:hAnsi="Calibri"/>
                <w:sz w:val="22"/>
              </w:rPr>
              <w:t>$5.12</w:t>
            </w:r>
          </w:p>
        </w:tc>
        <w:tc>
          <w:tcPr>
            <w:tcW w:type="dxa" w:w="1234"/>
          </w:tcPr>
          <w:p>
            <w:r>
              <w:rPr>
                <w:rFonts w:ascii="Calibri" w:hAnsi="Calibri"/>
                <w:sz w:val="22"/>
              </w:rPr>
              <w:t>+97.7%</w:t>
            </w:r>
          </w:p>
        </w:tc>
        <w:tc>
          <w:tcPr>
            <w:tcW w:type="dxa" w:w="1234"/>
          </w:tcPr>
          <w:p>
            <w:r>
              <w:rPr>
                <w:rFonts w:ascii="Calibri" w:hAnsi="Calibri"/>
                <w:sz w:val="22"/>
              </w:rPr>
              <w:t>$5.00</w:t>
            </w:r>
          </w:p>
        </w:tc>
        <w:tc>
          <w:tcPr>
            <w:tcW w:type="dxa" w:w="1234"/>
          </w:tcPr>
          <w:p>
            <w:r>
              <w:rPr>
                <w:rFonts w:ascii="Calibri" w:hAnsi="Calibri"/>
                <w:sz w:val="22"/>
              </w:rPr>
              <w:t>+2.4%</w:t>
            </w:r>
          </w:p>
        </w:tc>
      </w:tr>
      <w:tr>
        <w:tc>
          <w:tcPr>
            <w:tcW w:type="dxa" w:w="1234"/>
          </w:tcPr>
          <w:p>
            <w:r>
              <w:rPr>
                <w:rFonts w:ascii="Calibri" w:hAnsi="Calibri"/>
                <w:sz w:val="22"/>
              </w:rPr>
              <w:t>Non-GAAP Gross Profit ($B)</w:t>
            </w:r>
          </w:p>
        </w:tc>
        <w:tc>
          <w:tcPr>
            <w:tcW w:type="dxa" w:w="1234"/>
          </w:tcPr>
          <w:p>
            <w:r>
              <w:rPr>
                <w:rFonts w:ascii="Calibri" w:hAnsi="Calibri"/>
                <w:sz w:val="22"/>
              </w:rPr>
              <w:t>$1.463B</w:t>
            </w:r>
          </w:p>
        </w:tc>
        <w:tc>
          <w:tcPr>
            <w:tcW w:type="dxa" w:w="1234"/>
          </w:tcPr>
          <w:p>
            <w:r>
              <w:rPr>
                <w:rFonts w:ascii="Calibri" w:hAnsi="Calibri"/>
                <w:sz w:val="22"/>
              </w:rPr>
              <w:t>$0.926B</w:t>
            </w:r>
          </w:p>
        </w:tc>
        <w:tc>
          <w:tcPr>
            <w:tcW w:type="dxa" w:w="1234"/>
          </w:tcPr>
          <w:p>
            <w:r>
              <w:rPr>
                <w:rFonts w:ascii="Calibri" w:hAnsi="Calibri"/>
                <w:sz w:val="22"/>
              </w:rPr>
              <w:t>$1.771B</w:t>
            </w:r>
          </w:p>
        </w:tc>
        <w:tc>
          <w:tcPr>
            <w:tcW w:type="dxa" w:w="1234"/>
          </w:tcPr>
          <w:p>
            <w:r>
              <w:rPr>
                <w:rFonts w:ascii="Calibri" w:hAnsi="Calibri"/>
                <w:sz w:val="22"/>
              </w:rPr>
              <w:t>+91.2%</w:t>
            </w:r>
          </w:p>
        </w:tc>
        <w:tc>
          <w:tcPr>
            <w:tcW w:type="dxa" w:w="1234"/>
          </w:tcPr>
          <w:p>
            <w:r>
              <w:rPr>
                <w:rFonts w:ascii="Calibri" w:hAnsi="Calibri"/>
                <w:sz w:val="22"/>
              </w:rPr>
              <w:t>~$1.725B (implied ~50% GM)</w:t>
            </w:r>
          </w:p>
        </w:tc>
        <w:tc>
          <w:tcPr>
            <w:tcW w:type="dxa" w:w="1234"/>
          </w:tcPr>
          <w:p>
            <w:r>
              <w:rPr>
                <w:rFonts w:ascii="Calibri" w:hAnsi="Calibri"/>
                <w:sz w:val="22"/>
              </w:rPr>
              <w:t>+2.7%</w:t>
            </w:r>
          </w:p>
        </w:tc>
      </w:tr>
      <w:tr>
        <w:tc>
          <w:tcPr>
            <w:tcW w:type="dxa" w:w="1234"/>
          </w:tcPr>
          <w:p>
            <w:r>
              <w:rPr>
                <w:rFonts w:ascii="Calibri" w:hAnsi="Calibri"/>
                <w:sz w:val="22"/>
              </w:rPr>
              <w:t>Nearline Exabyte Shipments (EB)</w:t>
            </w:r>
          </w:p>
        </w:tc>
        <w:tc>
          <w:tcPr>
            <w:tcW w:type="dxa" w:w="1234"/>
          </w:tcPr>
          <w:p>
            <w:r>
              <w:rPr>
                <w:rFonts w:ascii="Calibri" w:hAnsi="Calibri"/>
                <w:sz w:val="22"/>
              </w:rPr>
              <w:t>175 EB</w:t>
            </w:r>
          </w:p>
        </w:tc>
        <w:tc>
          <w:tcPr>
            <w:tcW w:type="dxa" w:w="1234"/>
          </w:tcPr>
          <w:p>
            <w:r>
              <w:rPr>
                <w:rFonts w:ascii="Calibri" w:hAnsi="Calibri"/>
                <w:sz w:val="22"/>
              </w:rPr>
              <w:t>137 EB</w:t>
            </w:r>
          </w:p>
        </w:tc>
        <w:tc>
          <w:tcPr>
            <w:tcW w:type="dxa" w:w="1234"/>
          </w:tcPr>
          <w:p>
            <w:r>
              <w:rPr>
                <w:rFonts w:ascii="Calibri" w:hAnsi="Calibri"/>
                <w:sz w:val="22"/>
              </w:rPr>
              <w:t>188 EB</w:t>
            </w:r>
          </w:p>
        </w:tc>
        <w:tc>
          <w:tcPr>
            <w:tcW w:type="dxa" w:w="1234"/>
          </w:tcPr>
          <w:p>
            <w:r>
              <w:rPr>
                <w:rFonts w:ascii="Calibri" w:hAnsi="Calibri"/>
                <w:sz w:val="22"/>
              </w:rPr>
              <w:t>+37.2%</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HDD Price per TB ($)</w:t>
            </w:r>
          </w:p>
        </w:tc>
        <w:tc>
          <w:tcPr>
            <w:tcW w:type="dxa" w:w="1234"/>
          </w:tcPr>
          <w:p>
            <w:r>
              <w:rPr>
                <w:rFonts w:ascii="Calibri" w:hAnsi="Calibri"/>
                <w:sz w:val="22"/>
              </w:rPr>
              <w:t>$14.68</w:t>
            </w:r>
          </w:p>
        </w:tc>
        <w:tc>
          <w:tcPr>
            <w:tcW w:type="dxa" w:w="1234"/>
          </w:tcPr>
          <w:p>
            <w:r>
              <w:rPr>
                <w:rFonts w:ascii="Calibri" w:hAnsi="Calibri"/>
                <w:sz w:val="22"/>
              </w:rPr>
              <w:t>$14.04</w:t>
            </w:r>
          </w:p>
        </w:tc>
        <w:tc>
          <w:tcPr>
            <w:tcW w:type="dxa" w:w="1234"/>
          </w:tcPr>
          <w:p>
            <w:r>
              <w:rPr>
                <w:rFonts w:ascii="Calibri" w:hAnsi="Calibri"/>
                <w:sz w:val="22"/>
              </w:rPr>
              <w:t>$15.43</w:t>
            </w:r>
          </w:p>
        </w:tc>
        <w:tc>
          <w:tcPr>
            <w:tcW w:type="dxa" w:w="1234"/>
          </w:tcPr>
          <w:p>
            <w:r>
              <w:rPr>
                <w:rFonts w:ascii="Calibri" w:hAnsi="Calibri"/>
                <w:sz w:val="22"/>
              </w:rPr>
              <w:t>+9.9%</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$0.953B</w:t>
            </w:r>
          </w:p>
        </w:tc>
        <w:tc>
          <w:tcPr>
            <w:tcW w:type="dxa" w:w="1234"/>
          </w:tcPr>
          <w:p>
            <w:r>
              <w:rPr>
                <w:rFonts w:ascii="Calibri" w:hAnsi="Calibri"/>
                <w:sz w:val="22"/>
              </w:rPr>
              <w:t>$0.425B</w:t>
            </w:r>
          </w:p>
        </w:tc>
        <w:tc>
          <w:tcPr>
            <w:tcW w:type="dxa" w:w="1234"/>
          </w:tcPr>
          <w:p>
            <w:r>
              <w:rPr>
                <w:rFonts w:ascii="Calibri" w:hAnsi="Calibri"/>
                <w:sz w:val="22"/>
              </w:rPr>
              <w:t>$0.975B</w:t>
            </w:r>
          </w:p>
        </w:tc>
        <w:tc>
          <w:tcPr>
            <w:tcW w:type="dxa" w:w="1234"/>
          </w:tcPr>
          <w:p>
            <w:r>
              <w:rPr>
                <w:rFonts w:ascii="Calibri" w:hAnsi="Calibri"/>
                <w:sz w:val="22"/>
              </w:rPr>
              <w:t>+129.4%</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 Visible Alpha Consensus and Actuals Data (https://insights.visiblealpha.com/mex/STX/NMV/IS).</w:t>
      </w:r>
    </w:p>
    <w:p>
      <w:r>
        <w:rPr>
          <w:rFonts w:ascii="Calibri" w:hAnsi="Calibri"/>
          <w:b/>
          <w:color w:val="525866"/>
          <w:sz w:val="22"/>
        </w:rPr>
        <w:t xml:space="preserve">Pattern: </w:t>
      </w:r>
      <w:r>
        <w:rPr>
          <w:rFonts w:ascii="Calibri" w:hAnsi="Calibri"/>
          <w:color w:val="525866"/>
          <w:sz w:val="22"/>
        </w:rPr>
        <w:t>STX has beaten consensus on both revenue and Non-GAAP EPS in each of the last 8 reported quarters, with EPS beats averaging ~12% and accelerating to +17% in Q3 FY2026 — a remarkably consistent track record that sets a high bar for the Street to model conservatively.</w:t>
      </w:r>
    </w:p>
    <w:p>
      <w:r>
        <w:rPr>
          <w:rFonts w:ascii="Calibri" w:hAnsi="Calibri"/>
          <w:i/>
          <w:color w:val="525866"/>
          <w:sz w:val="22"/>
        </w:rPr>
        <w:t>Sources: STX Q3 FY2026 Earnings Release and Transcript (April 28, 2026); STX 8-K (June 11, 2026); STX JP Morgan Conference Transcript (May 18, 2026); STX TD Cowen Conference Transcript (May 27, 2026); STX Bank of America Conference Transcript (June 2,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Q4 FY2026 and FY2026 full year have drifted modestly higher since the Q3 print, tracking management's bullish tone. </w:t>
      </w:r>
      <w:r>
        <w:rPr>
          <w:rFonts w:ascii="Calibri" w:hAnsi="Calibri"/>
          <w:b/>
          <w:color w:val="525866"/>
          <w:sz w:val="22"/>
        </w:rPr>
        <w:t>The gap between consensus and guidance midpoint is narrow on revenue but wider on EPS</w:t>
      </w:r>
      <w:r>
        <w:rPr>
          <w:rFonts w:ascii="Calibri" w:hAnsi="Calibri"/>
          <w:color w:val="525866"/>
          <w:sz w:val="22"/>
        </w:rPr>
        <w:t xml:space="preserve"> — suggesting the Street has partially but not fully priced in the incremental margin upside management has been signaling at conferences.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Q3 Earnings (as of May 5, 2026)</w:t>
            </w:r>
          </w:p>
        </w:tc>
        <w:tc>
          <w:tcPr>
            <w:tcW w:type="dxa" w:w="1080"/>
          </w:tcPr>
          <w:p>
            <w:r>
              <w:rPr>
                <w:rFonts w:ascii="Calibri" w:hAnsi="Calibri"/>
                <w:b/>
                <w:sz w:val="22"/>
              </w:rPr>
              <w:t>Current Consensus (July 28, 2026)</w:t>
            </w:r>
          </w:p>
        </w:tc>
        <w:tc>
          <w:tcPr>
            <w:tcW w:type="dxa" w:w="1080"/>
          </w:tcPr>
          <w:p>
            <w:r>
              <w:rPr>
                <w:rFonts w:ascii="Calibri" w:hAnsi="Calibri"/>
                <w:b/>
                <w:sz w:val="22"/>
              </w:rPr>
              <w:t>Estimate Δ (%)</w:t>
            </w:r>
          </w:p>
        </w:tc>
        <w:tc>
          <w:tcPr>
            <w:tcW w:type="dxa" w:w="1080"/>
          </w:tcPr>
          <w:p>
            <w:r>
              <w:rPr>
                <w:rFonts w:ascii="Calibri" w:hAnsi="Calibri"/>
                <w:b/>
                <w:sz w:val="22"/>
              </w:rPr>
              <w:t>Initial Guidance (Q3 Earnings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Revenue — Q4 FY2026</w:t>
            </w:r>
          </w:p>
        </w:tc>
        <w:tc>
          <w:tcPr>
            <w:tcW w:type="dxa" w:w="1080"/>
          </w:tcPr>
          <w:p>
            <w:r>
              <w:rPr>
                <w:rFonts w:ascii="Calibri" w:hAnsi="Calibri"/>
                <w:sz w:val="22"/>
              </w:rPr>
              <w:t>$3.477B</w:t>
            </w:r>
          </w:p>
        </w:tc>
        <w:tc>
          <w:tcPr>
            <w:tcW w:type="dxa" w:w="1080"/>
          </w:tcPr>
          <w:p>
            <w:r>
              <w:rPr>
                <w:rFonts w:ascii="Calibri" w:hAnsi="Calibri"/>
                <w:sz w:val="22"/>
              </w:rPr>
              <w:t>$3.502B</w:t>
            </w:r>
          </w:p>
        </w:tc>
        <w:tc>
          <w:tcPr>
            <w:tcW w:type="dxa" w:w="1080"/>
          </w:tcPr>
          <w:p>
            <w:r>
              <w:rPr>
                <w:rFonts w:ascii="Calibri" w:hAnsi="Calibri"/>
                <w:sz w:val="22"/>
              </w:rPr>
              <w:t>+0.7%</w:t>
            </w:r>
          </w:p>
        </w:tc>
        <w:tc>
          <w:tcPr>
            <w:tcW w:type="dxa" w:w="1080"/>
          </w:tcPr>
          <w:p>
            <w:r>
              <w:rPr>
                <w:rFonts w:ascii="Calibri" w:hAnsi="Calibri"/>
                <w:sz w:val="22"/>
              </w:rPr>
              <w:t>$3.45B ± $100M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 vs. midpoint</w:t>
            </w:r>
          </w:p>
        </w:tc>
      </w:tr>
      <w:tr>
        <w:tc>
          <w:tcPr>
            <w:tcW w:type="dxa" w:w="1080"/>
          </w:tcPr>
          <w:p>
            <w:r>
              <w:rPr>
                <w:rFonts w:ascii="Calibri" w:hAnsi="Calibri"/>
                <w:sz w:val="22"/>
              </w:rPr>
              <w:t>Non-GAAP EPS — Q4 FY2026</w:t>
            </w:r>
          </w:p>
        </w:tc>
        <w:tc>
          <w:tcPr>
            <w:tcW w:type="dxa" w:w="1080"/>
          </w:tcPr>
          <w:p>
            <w:r>
              <w:rPr>
                <w:rFonts w:ascii="Calibri" w:hAnsi="Calibri"/>
                <w:sz w:val="22"/>
              </w:rPr>
              <w:t>$5.087</w:t>
            </w:r>
          </w:p>
        </w:tc>
        <w:tc>
          <w:tcPr>
            <w:tcW w:type="dxa" w:w="1080"/>
          </w:tcPr>
          <w:p>
            <w:r>
              <w:rPr>
                <w:rFonts w:ascii="Calibri" w:hAnsi="Calibri"/>
                <w:sz w:val="22"/>
              </w:rPr>
              <w:t>$5.123</w:t>
            </w:r>
          </w:p>
        </w:tc>
        <w:tc>
          <w:tcPr>
            <w:tcW w:type="dxa" w:w="1080"/>
          </w:tcPr>
          <w:p>
            <w:r>
              <w:rPr>
                <w:rFonts w:ascii="Calibri" w:hAnsi="Calibri"/>
                <w:sz w:val="22"/>
              </w:rPr>
              <w:t>+0.7%</w:t>
            </w:r>
          </w:p>
        </w:tc>
        <w:tc>
          <w:tcPr>
            <w:tcW w:type="dxa" w:w="1080"/>
          </w:tcPr>
          <w:p>
            <w:r>
              <w:rPr>
                <w:rFonts w:ascii="Calibri" w:hAnsi="Calibri"/>
                <w:sz w:val="22"/>
              </w:rPr>
              <w:t>$5.00 ± $0.20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 vs. midpoint</w:t>
            </w:r>
          </w:p>
        </w:tc>
      </w:tr>
      <w:tr>
        <w:tc>
          <w:tcPr>
            <w:tcW w:type="dxa" w:w="1080"/>
          </w:tcPr>
          <w:p>
            <w:r>
              <w:rPr>
                <w:rFonts w:ascii="Calibri" w:hAnsi="Calibri"/>
                <w:sz w:val="22"/>
              </w:rPr>
              <w:t>Non-GAAP Gross Profit — Q4 FY2026</w:t>
            </w:r>
          </w:p>
        </w:tc>
        <w:tc>
          <w:tcPr>
            <w:tcW w:type="dxa" w:w="1080"/>
          </w:tcPr>
          <w:p>
            <w:r>
              <w:rPr>
                <w:rFonts w:ascii="Calibri" w:hAnsi="Calibri"/>
                <w:sz w:val="22"/>
              </w:rPr>
              <w:t>$1.759B</w:t>
            </w:r>
          </w:p>
        </w:tc>
        <w:tc>
          <w:tcPr>
            <w:tcW w:type="dxa" w:w="1080"/>
          </w:tcPr>
          <w:p>
            <w:r>
              <w:rPr>
                <w:rFonts w:ascii="Calibri" w:hAnsi="Calibri"/>
                <w:sz w:val="22"/>
              </w:rPr>
              <w:t>$1.771B</w:t>
            </w:r>
          </w:p>
        </w:tc>
        <w:tc>
          <w:tcPr>
            <w:tcW w:type="dxa" w:w="1080"/>
          </w:tcPr>
          <w:p>
            <w:r>
              <w:rPr>
                <w:rFonts w:ascii="Calibri" w:hAnsi="Calibri"/>
                <w:sz w:val="22"/>
              </w:rPr>
              <w:t>+0.7%</w:t>
            </w:r>
          </w:p>
        </w:tc>
        <w:tc>
          <w:tcPr>
            <w:tcW w:type="dxa" w:w="1080"/>
          </w:tcPr>
          <w:p>
            <w:r>
              <w:rPr>
                <w:rFonts w:ascii="Calibri" w:hAnsi="Calibri"/>
                <w:sz w:val="22"/>
              </w:rPr>
              <w:t>~$1.725B (implied ~50% GM)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+2.7% vs. implied midpoint</w:t>
            </w:r>
          </w:p>
        </w:tc>
      </w:tr>
      <w:tr>
        <w:tc>
          <w:tcPr>
            <w:tcW w:type="dxa" w:w="1080"/>
          </w:tcPr>
          <w:p>
            <w:r>
              <w:rPr>
                <w:rFonts w:ascii="Calibri" w:hAnsi="Calibri"/>
                <w:sz w:val="22"/>
              </w:rPr>
              <w:t>Nearline Exabytes — Q4 FY2026</w:t>
            </w:r>
          </w:p>
        </w:tc>
        <w:tc>
          <w:tcPr>
            <w:tcW w:type="dxa" w:w="1080"/>
          </w:tcPr>
          <w:p>
            <w:r>
              <w:rPr>
                <w:rFonts w:ascii="Calibri" w:hAnsi="Calibri"/>
                <w:sz w:val="22"/>
              </w:rPr>
              <w:t>188.0 EB</w:t>
            </w:r>
          </w:p>
        </w:tc>
        <w:tc>
          <w:tcPr>
            <w:tcW w:type="dxa" w:w="1080"/>
          </w:tcPr>
          <w:p>
            <w:r>
              <w:rPr>
                <w:rFonts w:ascii="Calibri" w:hAnsi="Calibri"/>
                <w:sz w:val="22"/>
              </w:rPr>
              <w:t>188.2 EB</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FY2026 Full Year</w:t>
            </w:r>
          </w:p>
        </w:tc>
        <w:tc>
          <w:tcPr>
            <w:tcW w:type="dxa" w:w="1080"/>
          </w:tcPr>
          <w:p>
            <w:r>
              <w:rPr>
                <w:rFonts w:ascii="Calibri" w:hAnsi="Calibri"/>
                <w:sz w:val="22"/>
              </w:rPr>
              <w:t>$12.043B</w:t>
            </w:r>
          </w:p>
        </w:tc>
        <w:tc>
          <w:tcPr>
            <w:tcW w:type="dxa" w:w="1080"/>
          </w:tcPr>
          <w:p>
            <w:r>
              <w:rPr>
                <w:rFonts w:ascii="Calibri" w:hAnsi="Calibri"/>
                <w:sz w:val="22"/>
              </w:rPr>
              <w:t>$12.068B</w:t>
            </w:r>
          </w:p>
        </w:tc>
        <w:tc>
          <w:tcPr>
            <w:tcW w:type="dxa" w:w="1080"/>
          </w:tcPr>
          <w:p>
            <w:r>
              <w:rPr>
                <w:rFonts w:ascii="Calibri" w:hAnsi="Calibri"/>
                <w:sz w:val="22"/>
              </w:rPr>
              <w:t>+0.2%</w:t>
            </w:r>
          </w:p>
        </w:tc>
        <w:tc>
          <w:tcPr>
            <w:tcW w:type="dxa" w:w="1080"/>
          </w:tcPr>
          <w:p>
            <w:r>
              <w:rPr>
                <w:rFonts w:ascii="Calibri" w:hAnsi="Calibri"/>
                <w:sz w:val="22"/>
              </w:rPr>
              <w:t>N/A (FY guidance not provided)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FY2026 Full Year</w:t>
            </w:r>
          </w:p>
        </w:tc>
        <w:tc>
          <w:tcPr>
            <w:tcW w:type="dxa" w:w="1080"/>
          </w:tcPr>
          <w:p>
            <w:r>
              <w:rPr>
                <w:rFonts w:ascii="Calibri" w:hAnsi="Calibri"/>
                <w:sz w:val="22"/>
              </w:rPr>
              <w:t>$14.893</w:t>
            </w:r>
          </w:p>
        </w:tc>
        <w:tc>
          <w:tcPr>
            <w:tcW w:type="dxa" w:w="1080"/>
          </w:tcPr>
          <w:p>
            <w:r>
              <w:rPr>
                <w:rFonts w:ascii="Calibri" w:hAnsi="Calibri"/>
                <w:sz w:val="22"/>
              </w:rPr>
              <w:t>$14.928</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w:t>
            </w:r>
          </w:p>
        </w:tc>
        <w:tc>
          <w:tcPr>
            <w:tcW w:type="dxa" w:w="1080"/>
          </w:tcPr>
          <w:p>
            <w:r>
              <w:rPr>
                <w:rFonts w:ascii="Calibri" w:hAnsi="Calibri"/>
                <w:sz w:val="22"/>
              </w:rPr>
              <w:t>$16.343B</w:t>
            </w:r>
          </w:p>
        </w:tc>
        <w:tc>
          <w:tcPr>
            <w:tcW w:type="dxa" w:w="1080"/>
          </w:tcPr>
          <w:p>
            <w:r>
              <w:rPr>
                <w:rFonts w:ascii="Calibri" w:hAnsi="Calibri"/>
                <w:sz w:val="22"/>
              </w:rPr>
              <w:t>$17.024B</w:t>
            </w:r>
          </w:p>
        </w:tc>
        <w:tc>
          <w:tcPr>
            <w:tcW w:type="dxa" w:w="1080"/>
          </w:tcPr>
          <w:p>
            <w:r>
              <w:rPr>
                <w:rFonts w:ascii="Calibri" w:hAnsi="Calibri"/>
                <w:b/>
                <w:color w:val="30A46C"/>
                <w:sz w:val="22"/>
              </w:rPr>
              <w:t>+4.2%</w:t>
            </w:r>
          </w:p>
        </w:tc>
        <w:tc>
          <w:tcPr>
            <w:tcW w:type="dxa" w:w="1080"/>
          </w:tcPr>
          <w:p>
            <w:r>
              <w:rPr>
                <w:rFonts w:ascii="Calibri" w:hAnsi="Calibri"/>
                <w:sz w:val="22"/>
              </w:rPr>
              <w:t>Min. 20% annual growth (long-term target)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~41% YoY growth implied vs. FY2026 consensus</w:t>
            </w:r>
          </w:p>
        </w:tc>
      </w:tr>
      <w:tr>
        <w:tc>
          <w:tcPr>
            <w:tcW w:type="dxa" w:w="1080"/>
          </w:tcPr>
          <w:p>
            <w:r>
              <w:rPr>
                <w:rFonts w:ascii="Calibri" w:hAnsi="Calibri"/>
                <w:sz w:val="22"/>
              </w:rPr>
              <w:t>Non-GAAP EPS — FY2027</w:t>
            </w:r>
          </w:p>
        </w:tc>
        <w:tc>
          <w:tcPr>
            <w:tcW w:type="dxa" w:w="1080"/>
          </w:tcPr>
          <w:p>
            <w:r>
              <w:rPr>
                <w:rFonts w:ascii="Calibri" w:hAnsi="Calibri"/>
                <w:sz w:val="22"/>
              </w:rPr>
              <w:t>$27.482</w:t>
            </w:r>
          </w:p>
        </w:tc>
        <w:tc>
          <w:tcPr>
            <w:tcW w:type="dxa" w:w="1080"/>
          </w:tcPr>
          <w:p>
            <w:r>
              <w:rPr>
                <w:rFonts w:ascii="Calibri" w:hAnsi="Calibri"/>
                <w:sz w:val="22"/>
              </w:rPr>
              <w:t>$29.427</w:t>
            </w:r>
          </w:p>
        </w:tc>
        <w:tc>
          <w:tcPr>
            <w:tcW w:type="dxa" w:w="1080"/>
          </w:tcPr>
          <w:p>
            <w:r>
              <w:rPr>
                <w:rFonts w:ascii="Calibri" w:hAnsi="Calibri"/>
                <w:b/>
                <w:color w:val="30A46C"/>
                <w:sz w:val="22"/>
              </w:rPr>
              <w:t>+7.1%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Source: Visible Alpha Consensus and Actuals Data (https://insights.visiblealpha.com/mex/STX/NMV/IS, https://insights.visiblealpha.com/mex/STX/NMV/RHDD, https://insights.visiblealpha.com/mex/STX/NMV/CF). Baseline as of May 5, 2026 (~5 trading days post Q3 earnings on April 28, 2026).</w:t>
      </w:r>
    </w:p>
    <w:p>
      <w:r>
        <w:rPr>
          <w:rFonts w:ascii="Calibri" w:hAnsi="Calibri"/>
          <w:color w:val="525866"/>
          <w:sz w:val="22"/>
        </w:rPr>
        <w:t>FY2027 estimates have seen the most meaningful upward revision (+4–7%) since the Q3 print, reflecting the Street's growing conviction in the structural demand story and management's raised long-term growth target. Near-term Q4 estimates are essentially anchored to guidance, leaving the upside optionality in the gross margin line where management has consistently outperformed.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STX has dramatically outperformed both SMH (+12%) and SPY (+4%) since the Q3 earnings print, driven by a combination of </w:t>
      </w:r>
      <w:r>
        <w:rPr>
          <w:rFonts w:ascii="Calibri" w:hAnsi="Calibri"/>
          <w:b/>
          <w:color w:val="525866"/>
          <w:sz w:val="22"/>
        </w:rPr>
        <w:t>multiple expansion and upward EPS revisions</w:t>
      </w:r>
      <w:r>
        <w:rPr>
          <w:rFonts w:ascii="Calibri" w:hAnsi="Calibri"/>
          <w:color w:val="525866"/>
          <w:sz w:val="22"/>
        </w:rPr>
        <w:t xml:space="preserve"> — but the stock has pulled back ~25% from its June 22 peak of ~$1,094, partly on China chip-sector disruption (CXMT IPO, July 27), creating a more constructive entry setup into the print.</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STX vs. SMH (VanEck Semiconductor ETF) vs. SPY (S&amp;P 500 ETF) — Indexed to 100 at April 28, 2026 (Q3 FY2026 Earnings Date). Source: Yahoo Finance / Stock Price Data.</w:t>
      </w:r>
    </w:p>
    <w:p>
      <w:r>
        <w:rPr>
          <w:rFonts w:ascii="Calibri" w:hAnsi="Calibri"/>
          <w:b/>
          <w:color w:val="525866"/>
          <w:sz w:val="22"/>
        </w:rPr>
        <w:t>Performance Summary (April 28 → July 28, 2026):</w:t>
      </w:r>
    </w:p>
    <w:p>
      <w:pPr>
        <w:pStyle w:val="ListBullet"/>
        <w:ind w:left="360" w:hanging="360"/>
      </w:pPr>
      <w:r>
        <w:rPr>
          <w:rFonts w:ascii="Calibri" w:hAnsi="Calibri"/>
          <w:b/>
          <w:color w:val="525866"/>
          <w:sz w:val="22"/>
        </w:rPr>
        <w:t xml:space="preserve">STX: </w:t>
      </w:r>
      <w:r>
        <w:rPr>
          <w:rFonts w:ascii="Calibri" w:hAnsi="Calibri"/>
          <w:color w:val="525866"/>
          <w:sz w:val="22"/>
        </w:rPr>
        <w:t>+41.1% ($579.03 → $817.03 as of July 27 close). Peak: ~$1,094 on June 22.</w:t>
      </w:r>
    </w:p>
    <w:p>
      <w:pPr>
        <w:pStyle w:val="ListBullet"/>
        <w:ind w:left="360" w:hanging="360"/>
      </w:pPr>
      <w:r>
        <w:rPr>
          <w:rFonts w:ascii="Calibri" w:hAnsi="Calibri"/>
          <w:b/>
          <w:color w:val="525866"/>
          <w:sz w:val="22"/>
        </w:rPr>
        <w:t xml:space="preserve">SMH (VanEck Semiconductor ETF): </w:t>
      </w:r>
      <w:r>
        <w:rPr>
          <w:rFonts w:ascii="Calibri" w:hAnsi="Calibri"/>
          <w:color w:val="525866"/>
          <w:sz w:val="22"/>
        </w:rPr>
        <w:t>+11.7% ($491.21 → $548.59). Used as sector benchmark given STX’s semiconductor/storage sub-sector classification.</w:t>
      </w:r>
    </w:p>
    <w:p>
      <w:pPr>
        <w:pStyle w:val="ListBullet"/>
        <w:ind w:left="360" w:hanging="360"/>
      </w:pPr>
      <w:r>
        <w:rPr>
          <w:rFonts w:ascii="Calibri" w:hAnsi="Calibri"/>
          <w:b/>
          <w:color w:val="525866"/>
          <w:sz w:val="22"/>
        </w:rPr>
        <w:t xml:space="preserve">SPY (S&amp;P 500 ETF): </w:t>
      </w:r>
      <w:r>
        <w:rPr>
          <w:rFonts w:ascii="Calibri" w:hAnsi="Calibri"/>
          <w:color w:val="525866"/>
          <w:sz w:val="22"/>
        </w:rPr>
        <w:t>+3.9% ($711.69 → $739.13).</w:t>
      </w:r>
    </w:p>
    <w:p>
      <w:r>
        <w:rPr>
          <w:rFonts w:ascii="Calibri" w:hAnsi="Calibri"/>
          <w:b/>
          <w:color w:val="525866"/>
          <w:sz w:val="22"/>
        </w:rPr>
        <w:t>Key Events Since Q3 Earnings:</w:t>
      </w:r>
    </w:p>
    <w:p>
      <w:pPr>
        <w:pStyle w:val="ListBullet"/>
        <w:ind w:left="360" w:hanging="360"/>
      </w:pPr>
      <w:r>
        <w:rPr>
          <w:rFonts w:ascii="Calibri" w:hAnsi="Calibri"/>
          <w:b/>
          <w:color w:val="525866"/>
          <w:sz w:val="22"/>
        </w:rPr>
        <w:t xml:space="preserve">May 18: </w:t>
      </w:r>
      <w:r>
        <w:rPr>
          <w:rFonts w:ascii="Calibri" w:hAnsi="Calibri"/>
          <w:color w:val="525866"/>
          <w:sz w:val="22"/>
        </w:rPr>
        <w:t>JP Morgan TMT Conference — CEO Mosley bullish on demand; stock slipped ~10% on chip demand concerns (broader sector rotation).</w:t>
      </w:r>
    </w:p>
    <w:p>
      <w:pPr>
        <w:pStyle w:val="ListBullet"/>
        <w:ind w:left="360" w:hanging="360"/>
      </w:pPr>
      <w:r>
        <w:rPr>
          <w:rFonts w:ascii="Calibri" w:hAnsi="Calibri"/>
          <w:b/>
          <w:color w:val="525866"/>
          <w:sz w:val="22"/>
        </w:rPr>
        <w:t xml:space="preserve">May 27: </w:t>
      </w:r>
      <w:r>
        <w:rPr>
          <w:rFonts w:ascii="Calibri" w:hAnsi="Calibri"/>
          <w:color w:val="525866"/>
          <w:sz w:val="22"/>
        </w:rPr>
        <w:t>TD Cowen TMT Conference — CFO Romano confirmed 50% gross margin guidance for Q4; stock resumed uptrend.</w:t>
      </w:r>
    </w:p>
    <w:p>
      <w:pPr>
        <w:pStyle w:val="ListBullet"/>
        <w:ind w:left="360" w:hanging="360"/>
      </w:pPr>
      <w:r>
        <w:rPr>
          <w:rFonts w:ascii="Calibri" w:hAnsi="Calibri"/>
          <w:b/>
          <w:color w:val="525866"/>
          <w:sz w:val="22"/>
        </w:rPr>
        <w:t xml:space="preserve">June 2: </w:t>
      </w:r>
      <w:r>
        <w:rPr>
          <w:rFonts w:ascii="Calibri" w:hAnsi="Calibri"/>
          <w:color w:val="525866"/>
          <w:sz w:val="22"/>
        </w:rPr>
        <w:t>Bank of America Global Technology Conference — CFO Romano: demand "way above supply," pricing tracking "low double digits" YoY.</w:t>
      </w:r>
    </w:p>
    <w:p>
      <w:pPr>
        <w:pStyle w:val="ListBullet"/>
        <w:ind w:left="360" w:hanging="360"/>
      </w:pPr>
      <w:r>
        <w:rPr>
          <w:rFonts w:ascii="Calibri" w:hAnsi="Calibri"/>
          <w:b/>
          <w:color w:val="525866"/>
          <w:sz w:val="22"/>
        </w:rPr>
        <w:t xml:space="preserve">June 11: </w:t>
      </w:r>
      <w:r>
        <w:rPr>
          <w:rFonts w:ascii="Calibri" w:hAnsi="Calibri"/>
          <w:color w:val="525866"/>
          <w:sz w:val="22"/>
        </w:rPr>
        <w:t>8-K filed — Seagate called all 3.50% Exchangeable Senior Notes due 2028 for redemption (Sept 8, 2026). Balance sheet cleanup.</w:t>
      </w:r>
    </w:p>
    <w:p>
      <w:pPr>
        <w:pStyle w:val="ListBullet"/>
        <w:ind w:left="360" w:hanging="360"/>
      </w:pPr>
      <w:r>
        <w:rPr>
          <w:rFonts w:ascii="Calibri" w:hAnsi="Calibri"/>
          <w:b/>
          <w:color w:val="525866"/>
          <w:sz w:val="22"/>
        </w:rPr>
        <w:t xml:space="preserve">June 22: </w:t>
      </w:r>
      <w:r>
        <w:rPr>
          <w:rFonts w:ascii="Calibri" w:hAnsi="Calibri"/>
          <w:color w:val="525866"/>
          <w:sz w:val="22"/>
        </w:rPr>
        <w:t>STX peaked at ~$1,094 (+89% from Q3 earnings date).</w:t>
      </w:r>
    </w:p>
    <w:p>
      <w:pPr>
        <w:pStyle w:val="ListBullet"/>
        <w:ind w:left="360" w:hanging="360"/>
      </w:pPr>
      <w:r>
        <w:rPr>
          <w:rFonts w:ascii="Calibri" w:hAnsi="Calibri"/>
          <w:b/>
          <w:color w:val="525866"/>
          <w:sz w:val="22"/>
        </w:rPr>
        <w:t xml:space="preserve">July 2: </w:t>
      </w:r>
      <w:r>
        <w:rPr>
          <w:rFonts w:ascii="Calibri" w:hAnsi="Calibri"/>
          <w:color w:val="525866"/>
          <w:sz w:val="22"/>
        </w:rPr>
        <w:t>Semiconductor stocks fell sharply (SanDisk -14%, STX -11%); broader sector rotation.</w:t>
      </w:r>
    </w:p>
    <w:p>
      <w:pPr>
        <w:pStyle w:val="ListBullet"/>
        <w:ind w:left="360" w:hanging="360"/>
      </w:pPr>
      <w:r>
        <w:rPr>
          <w:rFonts w:ascii="Calibri" w:hAnsi="Calibri"/>
          <w:b/>
          <w:color w:val="525866"/>
          <w:sz w:val="22"/>
        </w:rPr>
        <w:t xml:space="preserve">July 27: </w:t>
      </w:r>
      <w:r>
        <w:rPr>
          <w:rFonts w:ascii="Calibri" w:hAnsi="Calibri"/>
          <w:color w:val="525866"/>
          <w:sz w:val="22"/>
        </w:rPr>
        <w:t>WDC fell 8% on China chip news (CXMT IPO, Chinese firm mass-producing chip-making machines); STX pulled back ~10% in sympathy.</w:t>
      </w:r>
    </w:p>
    <w:p>
      <w:r>
        <w:rPr>
          <w:rFonts w:ascii="Calibri" w:hAnsi="Calibri"/>
          <w:b/>
          <w:color w:val="525866"/>
          <w:sz w:val="22"/>
        </w:rPr>
        <w:t>Valuation Context:</w:t>
      </w:r>
      <w:r>
        <w:rPr>
          <w:rFonts w:ascii="Calibri" w:hAnsi="Calibri"/>
          <w:color w:val="525866"/>
          <w:sz w:val="22"/>
        </w:rPr>
        <w:t xml:space="preserve"> At ~$817, STX trades at ~28.5x NTM P/E and ~21x NTM EV/EBITDA. Over the trailing 12 months, the stock is up ~435%, driven by both earnings growth (+98% NTM P/E multiple expansion) and multiple expansion (+81% EV/EBITDA). The 1-month pullback of ~20% is almost entirely multiple compression (-22% EV/EBITDA), not estimate cuts, suggesting the fundamental story remains intact. Source: Stock Price Data (Yahoo Finance).</w:t>
      </w:r>
    </w:p>
    <w:p>
      <w:r>
        <w:br w:type="page"/>
      </w:r>
    </w:p>
    <w:p>
      <w:pPr>
        <w:pStyle w:val="Heading2"/>
      </w:pPr>
      <w:r>
        <w:rPr>
          <w:rFonts w:ascii="Calibri" w:hAnsi="Calibri"/>
          <w:b/>
          <w:color w:val="3B4259"/>
          <w:sz w:val="28"/>
        </w:rPr>
        <w:t>6. Peer Commentary Read-Through</w:t>
      </w:r>
    </w:p>
    <w:p>
      <w:r>
        <w:rPr>
          <w:rFonts w:ascii="Calibri" w:hAnsi="Calibri"/>
          <w:b/>
          <w:color w:val="525866"/>
          <w:sz w:val="22"/>
        </w:rPr>
        <w:t xml:space="preserve">Key Takeaway: </w:t>
      </w:r>
      <w:r>
        <w:rPr>
          <w:rFonts w:ascii="Calibri" w:hAnsi="Calibri"/>
          <w:color w:val="525866"/>
          <w:sz w:val="22"/>
        </w:rPr>
        <w:t xml:space="preserve">Peer commentary from Western Digital (WDC) and SanDisk (SNDK) in the last 60 days is uniformly bullish on HDD demand, pricing, and margins — all directly applicable to STX’s fiscal Q4 2026 (June quarter). </w:t>
      </w:r>
      <w:r>
        <w:rPr>
          <w:rFonts w:ascii="Calibri" w:hAnsi="Calibri"/>
          <w:b/>
          <w:color w:val="525866"/>
          <w:sz w:val="22"/>
        </w:rPr>
        <w:t>WDC’s CFO explicitly guided for mid-to-high single digit price/TB increases YoY for all four quarters of calendar 2026</w:t>
      </w:r>
      <w:r>
        <w:rPr>
          <w:rFonts w:ascii="Calibri" w:hAnsi="Calibri"/>
          <w:color w:val="525866"/>
          <w:sz w:val="22"/>
        </w:rPr>
        <w:t>, and described customers as "pounding the table" for drives. SanDisk’s commentary on AI-driven data center demand and 14 consecutive upward CapEx revisions reinforces the structural demand thesis.</w:t>
      </w:r>
    </w:p>
    <w:p>
      <w:r>
        <w:rPr>
          <w:rFonts w:ascii="Calibri" w:hAnsi="Calibri"/>
          <w:b/>
          <w:color w:val="525866"/>
          <w:sz w:val="22"/>
        </w:rPr>
        <w:t xml:space="preserve">Scope Note: </w:t>
      </w:r>
      <w:r>
        <w:rPr>
          <w:rFonts w:ascii="Calibri" w:hAnsi="Calibri"/>
          <w:i/>
          <w:color w:val="525866"/>
          <w:sz w:val="22"/>
        </w:rPr>
        <w:t>Only commentary from the last 60 days (May 28 – July 28, 2026) that addressed the peer’s then-current reporting quarter (i.e., the June 2026 quarter for WDC and SNDK, which aligns with STX’s fiscal Q4 2026) is included below. Commentary about prior-quarter results or historical performance is excluded.</w:t>
      </w:r>
    </w:p>
    <w:p>
      <w:pPr>
        <w:pStyle w:val="Heading3"/>
      </w:pPr>
      <w:r>
        <w:rPr>
          <w:rFonts w:ascii="Calibri" w:hAnsi="Calibri"/>
          <w:b/>
          <w:color w:val="3B4259"/>
          <w:sz w:val="24"/>
        </w:rPr>
        <w:t>6a. Western Digital (WDC) — Evercore TMT Global Conference (June 3, 2026)</w:t>
      </w:r>
    </w:p>
    <w:p>
      <w:r>
        <w:rPr>
          <w:rFonts w:ascii="Calibri" w:hAnsi="Calibri"/>
          <w:b/>
          <w:color w:val="525866"/>
          <w:sz w:val="22"/>
        </w:rPr>
        <w:t xml:space="preserve">Speaker: </w:t>
      </w:r>
      <w:r>
        <w:rPr>
          <w:rFonts w:ascii="Calibri" w:hAnsi="Calibri"/>
          <w:color w:val="525866"/>
          <w:sz w:val="22"/>
        </w:rPr>
        <w:t>Kris Sennesael, CFO of Western Digital</w:t>
      </w:r>
    </w:p>
    <w:p>
      <w:r>
        <w:rPr>
          <w:rFonts w:ascii="Calibri" w:hAnsi="Calibri"/>
          <w:b/>
          <w:color w:val="525866"/>
          <w:sz w:val="22"/>
        </w:rPr>
        <w:t xml:space="preserve">Relevance: </w:t>
      </w:r>
      <w:r>
        <w:rPr>
          <w:rFonts w:ascii="Calibri" w:hAnsi="Calibri"/>
          <w:color w:val="525866"/>
          <w:sz w:val="22"/>
        </w:rPr>
        <w:t>WDC’s HDD business is STX’s closest direct peer. WDC’s June quarter aligns with STX’s fiscal Q4 2026. Commentary was made on June 3, 2026, during STX’s then-current reporting quarter.</w:t>
      </w:r>
    </w:p>
    <w:p>
      <w:pPr>
        <w:pStyle w:val="ListBullet"/>
        <w:ind w:left="360" w:hanging="360"/>
      </w:pPr>
      <w:r>
        <w:rPr>
          <w:rFonts w:ascii="Calibri" w:hAnsi="Calibri"/>
          <w:b/>
          <w:color w:val="525866"/>
          <w:sz w:val="22"/>
        </w:rPr>
        <w:t xml:space="preserve">Demand: </w:t>
      </w:r>
      <w:r>
        <w:rPr>
          <w:rFonts w:ascii="Calibri" w:hAnsi="Calibri"/>
          <w:color w:val="525866"/>
          <w:sz w:val="22"/>
        </w:rPr>
        <w:t xml:space="preserve">"Customers are pounding the table. They want hard disk drives as fast as they can." Forecast "continues to go up." High conviction that exabyte growth will be "greater than 25% for the next 3 to 5 years." AI is driving demand across training, inferencing, and physical AI (autonomous vehicles, robotics). → </w:t>
      </w:r>
      <w:r>
        <w:rPr>
          <w:rFonts w:ascii="Calibri" w:hAnsi="Calibri"/>
          <w:b/>
          <w:color w:val="525866"/>
          <w:sz w:val="22"/>
        </w:rPr>
        <w:t>Read-through: Confirms STX’s demand environment is at least as strong as guided.</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"Our average ASP per terabyte was up 9% on a year-over-year basis" in the March quarter. Expects "price on a price per terabyte to be mid- to high single digits increase year-over-year for all 4 quarters" of calendar 2026. Customers signing LTAs "all the way till 2032." → </w:t>
      </w:r>
      <w:r>
        <w:rPr>
          <w:rFonts w:ascii="Calibri" w:hAnsi="Calibri"/>
          <w:b/>
          <w:color w:val="525866"/>
          <w:sz w:val="22"/>
        </w:rPr>
        <w:t>Read-through: Pricing tailwind for STX’s Q4 is confirmed; STX’s own conference commentary suggested "low double digit" YoY pricing, potentially above WDC.</w:t>
      </w:r>
    </w:p>
    <w:p>
      <w:pPr>
        <w:pStyle w:val="ListBullet"/>
        <w:ind w:left="360" w:hanging="360"/>
      </w:pPr>
      <w:r>
        <w:rPr>
          <w:rFonts w:ascii="Calibri" w:hAnsi="Calibri"/>
          <w:b/>
          <w:color w:val="525866"/>
          <w:sz w:val="22"/>
        </w:rPr>
        <w:t xml:space="preserve">Supply/Capacity: </w:t>
      </w:r>
      <w:r>
        <w:rPr>
          <w:rFonts w:ascii="Calibri" w:hAnsi="Calibri"/>
          <w:color w:val="525866"/>
          <w:sz w:val="22"/>
        </w:rPr>
        <w:t xml:space="preserve">"The supply is there, but it’s tight. It’s a very tight environment." Demand is "bigger than supply." Industry analysts expect demand/supply to remain "very tight" for the next couple of years. No unit capacity additions planned — growth entirely through technology transitions. → </w:t>
      </w:r>
      <w:r>
        <w:rPr>
          <w:rFonts w:ascii="Calibri" w:hAnsi="Calibri"/>
          <w:b/>
          <w:color w:val="525866"/>
          <w:sz w:val="22"/>
        </w:rPr>
        <w:t>Read-through: Tight supply supports STX’s pricing discipline and nearline allocation strategy.</w:t>
      </w:r>
    </w:p>
    <w:p>
      <w:pPr>
        <w:pStyle w:val="ListBullet"/>
        <w:ind w:left="360" w:hanging="360"/>
      </w:pPr>
      <w:r>
        <w:rPr>
          <w:rFonts w:ascii="Calibri" w:hAnsi="Calibri"/>
          <w:b/>
          <w:color w:val="525866"/>
          <w:sz w:val="22"/>
        </w:rPr>
        <w:t xml:space="preserve">Margins: </w:t>
      </w:r>
      <w:r>
        <w:rPr>
          <w:rFonts w:ascii="Calibri" w:hAnsi="Calibri"/>
          <w:color w:val="525866"/>
          <w:sz w:val="22"/>
        </w:rPr>
        <w:t xml:space="preserve">Gross margins expected to be "greater than 50% in the next 3 to 5 years." WDC "entered the new ZIP code" at 50%+ in the March quarter. Incremental gross margins "in the 70%, 75% range." Free cash flow margin "approaching 30%." → </w:t>
      </w:r>
      <w:r>
        <w:rPr>
          <w:rFonts w:ascii="Calibri" w:hAnsi="Calibri"/>
          <w:b/>
          <w:color w:val="525866"/>
          <w:sz w:val="22"/>
        </w:rPr>
        <w:t>Read-through: Directly validates STX’s ~50% gross margin guide for Q4 and the sustainability of 70%+ incremental margins.</w:t>
      </w:r>
    </w:p>
    <w:p>
      <w:pPr>
        <w:pStyle w:val="ListBullet"/>
        <w:ind w:left="360" w:hanging="360"/>
      </w:pPr>
      <w:r>
        <w:rPr>
          <w:rFonts w:ascii="Calibri" w:hAnsi="Calibri"/>
          <w:b/>
          <w:color w:val="525866"/>
          <w:sz w:val="22"/>
        </w:rPr>
        <w:t xml:space="preserve">Technology: </w:t>
      </w:r>
      <w:r>
        <w:rPr>
          <w:rFonts w:ascii="Calibri" w:hAnsi="Calibri"/>
          <w:color w:val="525866"/>
          <w:sz w:val="22"/>
        </w:rPr>
        <w:t xml:space="preserve">WDC qualifying next-gen ePMR at 40TB and first-gen HAMR at 44TB. ePMR ramp in "second half of calendar year ’26"; HAMR ramp in "first half of calendar year ’27." → </w:t>
      </w:r>
      <w:r>
        <w:rPr>
          <w:rFonts w:ascii="Calibri" w:hAnsi="Calibri"/>
          <w:b/>
          <w:color w:val="525866"/>
          <w:sz w:val="22"/>
        </w:rPr>
        <w:t>Read-through: WDC’s HAMR ramp is 1–2 quarters behind STX, reinforcing STX’s technology leadership and pricing power.</w:t>
      </w:r>
    </w:p>
    <w:p>
      <w:pPr>
        <w:pStyle w:val="Heading3"/>
      </w:pPr>
      <w:r>
        <w:rPr>
          <w:rFonts w:ascii="Calibri" w:hAnsi="Calibri"/>
          <w:b/>
          <w:color w:val="3B4259"/>
          <w:sz w:val="24"/>
        </w:rPr>
        <w:t>6b. Western Digital (WDC) — Bank of America Global Technology Conference (June 2, 2026)</w:t>
      </w:r>
    </w:p>
    <w:p>
      <w:r>
        <w:rPr>
          <w:rFonts w:ascii="Calibri" w:hAnsi="Calibri"/>
          <w:b/>
          <w:color w:val="525866"/>
          <w:sz w:val="22"/>
        </w:rPr>
        <w:t xml:space="preserve">Speaker: </w:t>
      </w:r>
      <w:r>
        <w:rPr>
          <w:rFonts w:ascii="Calibri" w:hAnsi="Calibri"/>
          <w:color w:val="525866"/>
          <w:sz w:val="22"/>
        </w:rPr>
        <w:t>Kris Sennesael, CFO of Western Digital</w:t>
      </w:r>
    </w:p>
    <w:p>
      <w:r>
        <w:rPr>
          <w:rFonts w:ascii="Calibri" w:hAnsi="Calibri"/>
          <w:b/>
          <w:color w:val="525866"/>
          <w:sz w:val="22"/>
        </w:rPr>
        <w:t xml:space="preserve">Relevance: </w:t>
      </w:r>
      <w:r>
        <w:rPr>
          <w:rFonts w:ascii="Calibri" w:hAnsi="Calibri"/>
          <w:color w:val="525866"/>
          <w:sz w:val="22"/>
        </w:rPr>
        <w:t>Commentary made June 2, 2026, during STX’s then-current fiscal Q4 2026 reporting quarter.</w:t>
      </w:r>
    </w:p>
    <w:p>
      <w:pPr>
        <w:pStyle w:val="ListBullet"/>
        <w:ind w:left="360" w:hanging="360"/>
      </w:pPr>
      <w:r>
        <w:rPr>
          <w:rFonts w:ascii="Calibri" w:hAnsi="Calibri"/>
          <w:b/>
          <w:color w:val="525866"/>
          <w:sz w:val="22"/>
        </w:rPr>
        <w:t xml:space="preserve">Demand: </w:t>
      </w:r>
      <w:r>
        <w:rPr>
          <w:rFonts w:ascii="Calibri" w:hAnsi="Calibri"/>
          <w:color w:val="525866"/>
          <w:sz w:val="22"/>
        </w:rPr>
        <w:t xml:space="preserve">"Exabyte growth could be well above 25% CAGR for the next 3 to 5 years." "Every time we talk to them [hyperscalers], they seem to be asking for more." "Everything what we ship today is getting deployed right away." Storage demand "keeps compounding" and is "decoupled" from compute CapEx. → </w:t>
      </w:r>
      <w:r>
        <w:rPr>
          <w:rFonts w:ascii="Calibri" w:hAnsi="Calibri"/>
          <w:b/>
          <w:color w:val="525866"/>
          <w:sz w:val="22"/>
        </w:rPr>
        <w:t>Read-through: Demand decoupling from compute CapEx is a key bull thesis for STX; WDC’s commentary validates it.</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"Pricing has been very strong." Expects "price on a price per terabyte to be mid- to high single digits increase year-over-year for all 4 quarters." Price increases implemented "across the board" including consumer and client above company average. → </w:t>
      </w:r>
      <w:r>
        <w:rPr>
          <w:rFonts w:ascii="Calibri" w:hAnsi="Calibri"/>
          <w:b/>
          <w:color w:val="525866"/>
          <w:sz w:val="22"/>
        </w:rPr>
        <w:t>Read-through: Broad-based pricing strength supports STX’s edge segment margin improvement commentary.</w:t>
      </w:r>
    </w:p>
    <w:p>
      <w:pPr>
        <w:pStyle w:val="ListBullet"/>
        <w:ind w:left="360" w:hanging="360"/>
      </w:pPr>
      <w:r>
        <w:rPr>
          <w:rFonts w:ascii="Calibri" w:hAnsi="Calibri"/>
          <w:b/>
          <w:color w:val="525866"/>
          <w:sz w:val="22"/>
        </w:rPr>
        <w:t xml:space="preserve">Supply: </w:t>
      </w:r>
      <w:r>
        <w:rPr>
          <w:rFonts w:ascii="Calibri" w:hAnsi="Calibri"/>
          <w:color w:val="525866"/>
          <w:sz w:val="22"/>
        </w:rPr>
        <w:t xml:space="preserve">"Demand is at least today is bigger than supply." 52-week lead times for HDD manufacturing. Industry not adding unit capacity. → </w:t>
      </w:r>
      <w:r>
        <w:rPr>
          <w:rFonts w:ascii="Calibri" w:hAnsi="Calibri"/>
          <w:b/>
          <w:color w:val="525866"/>
          <w:sz w:val="22"/>
        </w:rPr>
        <w:t>Read-through: Structural supply constraint supports STX’s build-to-order model and pricing power.</w:t>
      </w:r>
    </w:p>
    <w:p>
      <w:pPr>
        <w:pStyle w:val="ListBullet"/>
        <w:ind w:left="360" w:hanging="360"/>
      </w:pPr>
      <w:r>
        <w:rPr>
          <w:rFonts w:ascii="Calibri" w:hAnsi="Calibri"/>
          <w:b/>
          <w:color w:val="525866"/>
          <w:sz w:val="22"/>
        </w:rPr>
        <w:t xml:space="preserve">Outlook: </w:t>
      </w:r>
      <w:r>
        <w:rPr>
          <w:rFonts w:ascii="Calibri" w:hAnsi="Calibri"/>
          <w:color w:val="525866"/>
          <w:sz w:val="22"/>
        </w:rPr>
        <w:t xml:space="preserve">"I don’t see it slowing down in the next 3 to 5 years based on the inputs I get from my customers." → </w:t>
      </w:r>
      <w:r>
        <w:rPr>
          <w:rFonts w:ascii="Calibri" w:hAnsi="Calibri"/>
          <w:b/>
          <w:color w:val="525866"/>
          <w:sz w:val="22"/>
        </w:rPr>
        <w:t>Read-through: Consistent with STX management’s "new era of structural growth" characterization.</w:t>
      </w:r>
    </w:p>
    <w:p>
      <w:pPr>
        <w:pStyle w:val="Heading3"/>
      </w:pPr>
      <w:r>
        <w:rPr>
          <w:rFonts w:ascii="Calibri" w:hAnsi="Calibri"/>
          <w:b/>
          <w:color w:val="3B4259"/>
          <w:sz w:val="24"/>
        </w:rPr>
        <w:t>6c. SanDisk (SNDK) — Mizuho Technology Conference (June 9, 2026)</w:t>
      </w:r>
    </w:p>
    <w:p>
      <w:r>
        <w:rPr>
          <w:rFonts w:ascii="Calibri" w:hAnsi="Calibri"/>
          <w:b/>
          <w:color w:val="525866"/>
          <w:sz w:val="22"/>
        </w:rPr>
        <w:t xml:space="preserve">Speakers: </w:t>
      </w:r>
      <w:r>
        <w:rPr>
          <w:rFonts w:ascii="Calibri" w:hAnsi="Calibri"/>
          <w:color w:val="525866"/>
          <w:sz w:val="22"/>
        </w:rPr>
        <w:t>David V. Goeckeler, Chairman &amp; CEO; Luis Visoso, EVP &amp; CFO</w:t>
      </w:r>
    </w:p>
    <w:p>
      <w:r>
        <w:rPr>
          <w:rFonts w:ascii="Calibri" w:hAnsi="Calibri"/>
          <w:b/>
          <w:color w:val="525866"/>
          <w:sz w:val="22"/>
        </w:rPr>
        <w:t xml:space="preserve">Relevance: </w:t>
      </w:r>
      <w:r>
        <w:rPr>
          <w:rFonts w:ascii="Calibri" w:hAnsi="Calibri"/>
          <w:color w:val="525866"/>
          <w:sz w:val="22"/>
        </w:rPr>
        <w:t>SNDK’s fiscal Q4 2026 (June quarter) aligns with STX’s fiscal Q4 2026. Commentary was made June 9, 2026, during the then-current reporting quarter. Note: SNDK is a NAND/SSD company, so read-throughs are primarily on AI demand and data center CapEx trends, not HDD-specific dynamics.</w:t>
      </w:r>
    </w:p>
    <w:p>
      <w:pPr>
        <w:pStyle w:val="ListBullet"/>
        <w:ind w:left="360" w:hanging="360"/>
      </w:pPr>
      <w:r>
        <w:rPr>
          <w:rFonts w:ascii="Calibri" w:hAnsi="Calibri"/>
          <w:b/>
          <w:color w:val="525866"/>
          <w:sz w:val="22"/>
        </w:rPr>
        <w:t xml:space="preserve">AI Demand &amp; Data Center CapEx: </w:t>
      </w:r>
      <w:r>
        <w:rPr>
          <w:rFonts w:ascii="Calibri" w:hAnsi="Calibri"/>
          <w:color w:val="525866"/>
          <w:sz w:val="22"/>
        </w:rPr>
        <w:t xml:space="preserve">"Clearly, there’s a lot of AI demand that’s helping that equation." Data center CapEx has seen "14 revisions, all going up." "Data center has now become — or is quickly becoming the largest market in NAND." → </w:t>
      </w:r>
      <w:r>
        <w:rPr>
          <w:rFonts w:ascii="Calibri" w:hAnsi="Calibri"/>
          <w:b/>
          <w:color w:val="525866"/>
          <w:sz w:val="22"/>
        </w:rPr>
        <w:t>Read-through: 14 consecutive upward CapEx revisions from hyperscalers directly validates STX’s nearline demand visibility and build-to-order contract strength.</w:t>
      </w:r>
    </w:p>
    <w:p>
      <w:pPr>
        <w:pStyle w:val="ListBullet"/>
        <w:ind w:left="360" w:hanging="360"/>
      </w:pPr>
      <w:r>
        <w:rPr>
          <w:rFonts w:ascii="Calibri" w:hAnsi="Calibri"/>
          <w:b/>
          <w:color w:val="525866"/>
          <w:sz w:val="22"/>
        </w:rPr>
        <w:t xml:space="preserve">AI Inference Architecture: </w:t>
      </w:r>
      <w:r>
        <w:rPr>
          <w:rFonts w:ascii="Calibri" w:hAnsi="Calibri"/>
          <w:color w:val="525866"/>
          <w:sz w:val="22"/>
        </w:rPr>
        <w:t xml:space="preserve">"As AI moves into inference… NAND becomes a big part of that equation." "Probably 2/3 of the compute power that’s being installed is being used today for inferencing." → </w:t>
      </w:r>
      <w:r>
        <w:rPr>
          <w:rFonts w:ascii="Calibri" w:hAnsi="Calibri"/>
          <w:b/>
          <w:color w:val="525866"/>
          <w:sz w:val="22"/>
        </w:rPr>
        <w:t>Read-through: Inference-driven data creation is a key driver of HDD storage demand (STX’s core thesis); SNDK’s commentary validates the AI inference inflection.</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"You see pricing in conventional NAND going up." New business models include "fixed price components" and "a floor and a ceiling of pricing." Margins "will be consistent with the margins that we guided in — for the fourth quarter for our fiscal fourth quarter." → </w:t>
      </w:r>
      <w:r>
        <w:rPr>
          <w:rFonts w:ascii="Calibri" w:hAnsi="Calibri"/>
          <w:b/>
          <w:color w:val="525866"/>
          <w:sz w:val="22"/>
        </w:rPr>
        <w:t>Read-through: Rising NAND prices support STX’s edge segment pricing power (CFO Romano noted edge pricing benefits from high SSD prices).</w:t>
      </w:r>
    </w:p>
    <w:p>
      <w:pPr>
        <w:pStyle w:val="ListBullet"/>
        <w:ind w:left="360" w:hanging="360"/>
      </w:pPr>
      <w:r>
        <w:rPr>
          <w:rFonts w:ascii="Calibri" w:hAnsi="Calibri"/>
          <w:b/>
          <w:color w:val="525866"/>
          <w:sz w:val="22"/>
        </w:rPr>
        <w:t xml:space="preserve">Capacity &amp; Supply: </w:t>
      </w:r>
      <w:r>
        <w:rPr>
          <w:rFonts w:ascii="Calibri" w:hAnsi="Calibri"/>
          <w:color w:val="525866"/>
          <w:sz w:val="22"/>
        </w:rPr>
        <w:t xml:space="preserve">"We’re adding capacity all the time. We’re growing capacity in the mid- to high teens." Long lead times (110 days to produce a wafer) require long-term planning. → </w:t>
      </w:r>
      <w:r>
        <w:rPr>
          <w:rFonts w:ascii="Calibri" w:hAnsi="Calibri"/>
          <w:b/>
          <w:color w:val="525866"/>
          <w:sz w:val="22"/>
        </w:rPr>
        <w:t>Read-through: NAND supply discipline mirrors HDD industry discipline; no near-term oversupply risk.</w:t>
      </w:r>
    </w:p>
    <w:p>
      <w:pPr>
        <w:pStyle w:val="ListBullet"/>
        <w:ind w:left="360" w:hanging="360"/>
      </w:pPr>
      <w:r>
        <w:rPr>
          <w:rFonts w:ascii="Calibri" w:hAnsi="Calibri"/>
          <w:b/>
          <w:color w:val="525866"/>
          <w:sz w:val="22"/>
        </w:rPr>
        <w:t xml:space="preserve">Outlook: </w:t>
      </w:r>
      <w:r>
        <w:rPr>
          <w:rFonts w:ascii="Calibri" w:hAnsi="Calibri"/>
          <w:color w:val="525866"/>
          <w:sz w:val="22"/>
        </w:rPr>
        <w:t xml:space="preserve">"We see a market with sustained mid- to high teens growth." Data center mix expected to "go higher." → </w:t>
      </w:r>
      <w:r>
        <w:rPr>
          <w:rFonts w:ascii="Calibri" w:hAnsi="Calibri"/>
          <w:b/>
          <w:color w:val="525866"/>
          <w:sz w:val="22"/>
        </w:rPr>
        <w:t>Read-through: Broad storage market growth supports STX’s exabyte growth targets.</w:t>
      </w:r>
    </w:p>
    <w:p>
      <w:r>
        <w:rPr>
          <w:rFonts w:ascii="Calibri" w:hAnsi="Calibri"/>
          <w:i/>
          <w:color w:val="525866"/>
          <w:sz w:val="22"/>
        </w:rPr>
        <w:t>Sources: WDC Evercore TMT Global Conference Transcript (June 3, 2026); WDC Bank of America Global Technology Conference Transcript (June 2, 2026); SNDK Mizuho Technology Conference Transcript (June 9, 2026).</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Q3 earnings is the June 11 redemption of all remaining 3.50% Exchangeable Senior Notes due 2028 — completing the balance sheet cleanup and freeing the majority of free cash flow for shareholder returns. The July 27 China chip disruption (CXMT IPO) is the key near-term overhang heading into the print.</w:t>
      </w:r>
    </w:p>
    <w:p>
      <w:pPr>
        <w:pStyle w:val="ListBullet"/>
        <w:ind w:left="360" w:hanging="360"/>
      </w:pPr>
      <w:r>
        <w:rPr>
          <w:rFonts w:ascii="Calibri" w:hAnsi="Calibri"/>
          <w:b/>
          <w:color w:val="525866"/>
          <w:sz w:val="22"/>
        </w:rPr>
        <w:t xml:space="preserve">June 11, 2026 — 8-K: Convertible Note Redemption Called. </w:t>
      </w:r>
      <w:r>
        <w:rPr>
          <w:rFonts w:ascii="Calibri" w:hAnsi="Calibri"/>
          <w:color w:val="525866"/>
          <w:sz w:val="22"/>
        </w:rPr>
        <w:t xml:space="preserve">Seagate HDD Cayman called all outstanding 3.50% Exchangeable Senior Notes due 2028 for redemption on September 8, 2026. Holders may exchange at 12.1363 shares per $1,000 principal through September 3, 2026. Seagate elected to pay principal in cash and settle excess exchange obligations in shares. </w:t>
      </w:r>
      <w:r>
        <w:rPr>
          <w:rFonts w:ascii="Calibri" w:hAnsi="Calibri"/>
          <w:b/>
          <w:color w:val="525866"/>
          <w:sz w:val="22"/>
        </w:rPr>
        <w:t xml:space="preserve">Implication: </w:t>
      </w:r>
      <w:r>
        <w:rPr>
          <w:rFonts w:ascii="Calibri" w:hAnsi="Calibri"/>
          <w:color w:val="525866"/>
          <w:sz w:val="22"/>
        </w:rPr>
        <w:t>Eliminates ~$400M of convertible debt overhang, reduces interest expense, and clears the path for the majority of FCF to be directed to dividends and buybacks. Non-GAAP EPS guidance already includes ~3M diluted shares from converts.</w:t>
      </w:r>
    </w:p>
    <w:p>
      <w:pPr>
        <w:pStyle w:val="ListBullet"/>
        <w:ind w:left="360" w:hanging="360"/>
      </w:pPr>
      <w:r>
        <w:rPr>
          <w:rFonts w:ascii="Calibri" w:hAnsi="Calibri"/>
          <w:b/>
          <w:color w:val="525866"/>
          <w:sz w:val="22"/>
        </w:rPr>
        <w:t xml:space="preserve">May 18, 2026 — JP Morgan TMT Conference. </w:t>
      </w:r>
      <w:r>
        <w:rPr>
          <w:rFonts w:ascii="Calibri" w:hAnsi="Calibri"/>
          <w:color w:val="525866"/>
          <w:sz w:val="22"/>
        </w:rPr>
        <w:t xml:space="preserve">CEO Mosley confirmed Mozaic 3 qualified at all planned CSPs; Mozaic 4 qualified at two largest CSPs at PMR-equivalent timelines. Demand "significantly higher" than forecasts. Expects 70% incremental margins to be sustainable. </w:t>
      </w:r>
      <w:r>
        <w:rPr>
          <w:rFonts w:ascii="Calibri" w:hAnsi="Calibri"/>
          <w:b/>
          <w:color w:val="525866"/>
          <w:sz w:val="22"/>
        </w:rPr>
        <w:t xml:space="preserve">Implication: </w:t>
      </w:r>
      <w:r>
        <w:rPr>
          <w:rFonts w:ascii="Calibri" w:hAnsi="Calibri"/>
          <w:color w:val="525866"/>
          <w:sz w:val="22"/>
        </w:rPr>
        <w:t>Reinforces Q4 gross margin upside potential; HAMR qualification velocity accelerating.</w:t>
      </w:r>
    </w:p>
    <w:p>
      <w:pPr>
        <w:pStyle w:val="ListBullet"/>
        <w:ind w:left="360" w:hanging="360"/>
      </w:pPr>
      <w:r>
        <w:rPr>
          <w:rFonts w:ascii="Calibri" w:hAnsi="Calibri"/>
          <w:b/>
          <w:color w:val="525866"/>
          <w:sz w:val="22"/>
        </w:rPr>
        <w:t xml:space="preserve">May 27, 2026 — TD Cowen TMT Conference. </w:t>
      </w:r>
      <w:r>
        <w:rPr>
          <w:rFonts w:ascii="Calibri" w:hAnsi="Calibri"/>
          <w:color w:val="525866"/>
          <w:sz w:val="22"/>
        </w:rPr>
        <w:t xml:space="preserve">CFO Romano confirmed Q4 gross margin guidance of ~50%; stated pricing is tracking "low double digit" YoY (above prior mid-to-high single digit framework). Reiterated sequential revenue and profit growth through fiscal 2027. </w:t>
      </w:r>
      <w:r>
        <w:rPr>
          <w:rFonts w:ascii="Calibri" w:hAnsi="Calibri"/>
          <w:b/>
          <w:color w:val="525866"/>
          <w:sz w:val="22"/>
        </w:rPr>
        <w:t xml:space="preserve">Implication: </w:t>
      </w:r>
      <w:r>
        <w:rPr>
          <w:rFonts w:ascii="Calibri" w:hAnsi="Calibri"/>
          <w:color w:val="525866"/>
          <w:sz w:val="22"/>
        </w:rPr>
        <w:t>Pricing is running above prior framework — potential upside to consensus gross margin estimates.</w:t>
      </w:r>
    </w:p>
    <w:p>
      <w:pPr>
        <w:pStyle w:val="ListBullet"/>
        <w:ind w:left="360" w:hanging="360"/>
      </w:pPr>
      <w:r>
        <w:rPr>
          <w:rFonts w:ascii="Calibri" w:hAnsi="Calibri"/>
          <w:b/>
          <w:color w:val="525866"/>
          <w:sz w:val="22"/>
        </w:rPr>
        <w:t xml:space="preserve">June 2, 2026 — Bank of America Global Technology Conference. </w:t>
      </w:r>
      <w:r>
        <w:rPr>
          <w:rFonts w:ascii="Calibri" w:hAnsi="Calibri"/>
          <w:color w:val="525866"/>
          <w:sz w:val="22"/>
        </w:rPr>
        <w:t xml:space="preserve">CFO Romano: demand "way above supply"; ~$200M of convertible debt remaining to be repurchased next quarter; target cash balance of ~$1.5B; majority of FCF to go to dividends and buybacks going forward. </w:t>
      </w:r>
      <w:r>
        <w:rPr>
          <w:rFonts w:ascii="Calibri" w:hAnsi="Calibri"/>
          <w:b/>
          <w:color w:val="525866"/>
          <w:sz w:val="22"/>
        </w:rPr>
        <w:t xml:space="preserve">Implication: </w:t>
      </w:r>
      <w:r>
        <w:rPr>
          <w:rFonts w:ascii="Calibri" w:hAnsi="Calibri"/>
          <w:color w:val="525866"/>
          <w:sz w:val="22"/>
        </w:rPr>
        <w:t>Capital return acceleration is imminent; buyback activity expected to increase sequentially.</w:t>
      </w:r>
    </w:p>
    <w:p>
      <w:pPr>
        <w:pStyle w:val="ListBullet"/>
        <w:ind w:left="360" w:hanging="360"/>
      </w:pPr>
      <w:r>
        <w:rPr>
          <w:rFonts w:ascii="Calibri" w:hAnsi="Calibri"/>
          <w:b/>
          <w:color w:val="525866"/>
          <w:sz w:val="22"/>
        </w:rPr>
        <w:t xml:space="preserve">June 18, 2026 — Barron’s: C-Suite Stock Sales Are Routine. </w:t>
      </w:r>
      <w:r>
        <w:rPr>
          <w:rFonts w:ascii="Calibri" w:hAnsi="Calibri"/>
          <w:color w:val="525866"/>
          <w:sz w:val="22"/>
        </w:rPr>
        <w:t xml:space="preserve">Barron’s reported that CEO and CTO stock sales were routine tax-related sales on vested shares, not a bearish signal. </w:t>
      </w:r>
      <w:r>
        <w:rPr>
          <w:rFonts w:ascii="Calibri" w:hAnsi="Calibri"/>
          <w:b/>
          <w:color w:val="525866"/>
          <w:sz w:val="22"/>
        </w:rPr>
        <w:t xml:space="preserve">Implication: </w:t>
      </w:r>
      <w:r>
        <w:rPr>
          <w:rFonts w:ascii="Calibri" w:hAnsi="Calibri"/>
          <w:color w:val="525866"/>
          <w:sz w:val="22"/>
        </w:rPr>
        <w:t>Reduces concern about insider selling signal; see Insider Transaction section.</w:t>
      </w:r>
    </w:p>
    <w:p>
      <w:pPr>
        <w:pStyle w:val="ListBullet"/>
        <w:ind w:left="360" w:hanging="360"/>
      </w:pPr>
      <w:r>
        <w:rPr>
          <w:rFonts w:ascii="Calibri" w:hAnsi="Calibri"/>
          <w:b/>
          <w:color w:val="525866"/>
          <w:sz w:val="22"/>
        </w:rPr>
        <w:t xml:space="preserve">July 24, 2026 — Street Consensus Preview. </w:t>
      </w:r>
      <w:r>
        <w:rPr>
          <w:rFonts w:ascii="Calibri" w:hAnsi="Calibri"/>
          <w:color w:val="525866"/>
          <w:sz w:val="22"/>
        </w:rPr>
        <w:t xml:space="preserve">Street consensus expects revenue to grow 43% YoY to $3.49B, with sentiment described as bullish around memory-linked stocks like STX. </w:t>
      </w:r>
      <w:r>
        <w:rPr>
          <w:rFonts w:ascii="Calibri" w:hAnsi="Calibri"/>
          <w:b/>
          <w:color w:val="525866"/>
          <w:sz w:val="22"/>
        </w:rPr>
        <w:t xml:space="preserve">Implication: </w:t>
      </w:r>
      <w:r>
        <w:rPr>
          <w:rFonts w:ascii="Calibri" w:hAnsi="Calibri"/>
          <w:color w:val="525866"/>
          <w:sz w:val="22"/>
        </w:rPr>
        <w:t>Confirms the bar is set high on revenue; EPS upside is the key differentiator.</w:t>
      </w:r>
    </w:p>
    <w:p>
      <w:pPr>
        <w:pStyle w:val="ListBullet"/>
        <w:ind w:left="360" w:hanging="360"/>
      </w:pPr>
      <w:r>
        <w:rPr>
          <w:rFonts w:ascii="Calibri" w:hAnsi="Calibri"/>
          <w:b/>
          <w:color w:val="525866"/>
          <w:sz w:val="22"/>
        </w:rPr>
        <w:t xml:space="preserve">July 27, 2026 — China Chip Disruption (CXMT IPO + Chinese Chip Equipment). </w:t>
      </w:r>
      <w:r>
        <w:rPr>
          <w:rFonts w:ascii="Calibri" w:hAnsi="Calibri"/>
          <w:color w:val="525866"/>
          <w:sz w:val="22"/>
        </w:rPr>
        <w:t xml:space="preserve">WDC fell 8% and chip stocks broadly sold off after a Chinese memory chip maker’s IPO surged and a Chinese firm began mass-producing chip-making machines. STX pulled back ~10% in sympathy. </w:t>
      </w:r>
      <w:r>
        <w:rPr>
          <w:rFonts w:ascii="Calibri" w:hAnsi="Calibri"/>
          <w:b/>
          <w:color w:val="525866"/>
          <w:sz w:val="22"/>
        </w:rPr>
        <w:t xml:space="preserve">Implication: </w:t>
      </w:r>
      <w:r>
        <w:rPr>
          <w:rFonts w:ascii="Calibri" w:hAnsi="Calibri"/>
          <w:color w:val="525866"/>
          <w:sz w:val="22"/>
        </w:rPr>
        <w:t>Near-term overhang heading into the print; however, STX’s HDD business does not directly compete with DRAM/NAND, and management has noted HDD represents only low-to-mid single digit % of hyperscaler CapEx.</w:t>
      </w:r>
    </w:p>
    <w:p>
      <w:pPr>
        <w:pStyle w:val="ListBullet"/>
        <w:ind w:left="360" w:hanging="360"/>
      </w:pPr>
      <w:r>
        <w:rPr>
          <w:rFonts w:ascii="Calibri" w:hAnsi="Calibri"/>
          <w:b/>
          <w:color w:val="525866"/>
          <w:sz w:val="22"/>
        </w:rPr>
        <w:t xml:space="preserve">May 6, 2026 — Director Michael Cannon Will Not Seek Re-election. </w:t>
      </w:r>
      <w:r>
        <w:rPr>
          <w:rFonts w:ascii="Calibri" w:hAnsi="Calibri"/>
          <w:color w:val="525866"/>
          <w:sz w:val="22"/>
        </w:rPr>
        <w:t xml:space="preserve">8-K filed. </w:t>
      </w:r>
      <w:r>
        <w:rPr>
          <w:rFonts w:ascii="Calibri" w:hAnsi="Calibri"/>
          <w:b/>
          <w:color w:val="525866"/>
          <w:sz w:val="22"/>
        </w:rPr>
        <w:t xml:space="preserve">Implication: </w:t>
      </w:r>
      <w:r>
        <w:rPr>
          <w:rFonts w:ascii="Calibri" w:hAnsi="Calibri"/>
          <w:color w:val="525866"/>
          <w:sz w:val="22"/>
        </w:rPr>
        <w:t>Routine board transition; no operational significance.</w:t>
      </w:r>
    </w:p>
    <w:p>
      <w:r>
        <w:rPr>
          <w:rFonts w:ascii="Calibri" w:hAnsi="Calibri"/>
          <w:i/>
          <w:color w:val="525866"/>
          <w:sz w:val="22"/>
        </w:rPr>
        <w:t>Source: SEC Form 4 Filings (https://www.sec.gov/); Barron’s (June 18, 2026). Estimated values calculated using approximate stock price at transaction date. All transactions are dispositions (code S). No open-market purchases filed in the period.</w:t>
      </w:r>
    </w:p>
    <w:p>
      <w:r>
        <w:br w:type="page"/>
      </w:r>
    </w:p>
    <w:p>
      <w:pPr>
        <w:pStyle w:val="Heading2"/>
      </w:pPr>
      <w:r>
        <w:rPr>
          <w:rFonts w:ascii="Calibri" w:hAnsi="Calibri"/>
          <w:b/>
          <w:color w:val="3B4259"/>
          <w:sz w:val="28"/>
        </w:rPr>
        <w:t>9. Risks &amp; Key Questions for the Call</w:t>
      </w:r>
    </w:p>
    <w:p>
      <w:r>
        <w:rPr>
          <w:rFonts w:ascii="Calibri" w:hAnsi="Calibri"/>
          <w:b/>
          <w:color w:val="525866"/>
          <w:sz w:val="22"/>
        </w:rPr>
        <w:t xml:space="preserve">Key Takeaway: </w:t>
      </w:r>
      <w:r>
        <w:rPr>
          <w:rFonts w:ascii="Calibri" w:hAnsi="Calibri"/>
          <w:color w:val="525866"/>
          <w:sz w:val="22"/>
        </w:rPr>
        <w:t>The bull case is well-understood and largely priced in; the key risks are execution-related (HAMR qualification pace, gross margin sustainability) and macro/geopolitical (China chip competition, hyperscaler CapEx moderation). The most important question for the call is the Q1 FY2027 gross margin guide.</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 xml:space="preserve">Gross Margin Sustainability: </w:t>
      </w:r>
      <w:r>
        <w:rPr>
          <w:rFonts w:ascii="Calibri" w:hAnsi="Calibri"/>
          <w:color w:val="525866"/>
          <w:sz w:val="22"/>
        </w:rPr>
        <w:t>Q4 is guided at ~50% gross margin, up from 47% in Q3. The Street is modeling ~50.6% (consensus gross profit / revenue). If incremental margins compress as Mozaic 4+ ramps (higher initial costs, qualification overhead), the margin trajectory could disappoint. Management has stated there is "no ceiling," but the 4TB-to-5TB-per-platter transition is the key execution risk.</w:t>
      </w:r>
    </w:p>
    <w:p>
      <w:pPr>
        <w:pStyle w:val="ListBullet"/>
        <w:ind w:left="360" w:hanging="360"/>
      </w:pPr>
      <w:r>
        <w:rPr>
          <w:rFonts w:ascii="Calibri" w:hAnsi="Calibri"/>
          <w:b/>
          <w:color w:val="525866"/>
          <w:sz w:val="22"/>
        </w:rPr>
        <w:t xml:space="preserve">Mozaic 4+ Qualification Pace: </w:t>
      </w:r>
      <w:r>
        <w:rPr>
          <w:rFonts w:ascii="Calibri" w:hAnsi="Calibri"/>
          <w:color w:val="525866"/>
          <w:sz w:val="22"/>
        </w:rPr>
        <w:t>As of Q3 earnings, two of the world's largest CSPs were qualified on Mozaic 4+. Management guided for qualification of the remaining two customers in Q4 (the current quarter). Any delay would be a negative surprise and could slow the HAMR exabyte crossover target (50% by end of calendar 2026).</w:t>
      </w:r>
    </w:p>
    <w:p>
      <w:pPr>
        <w:pStyle w:val="ListBullet"/>
        <w:ind w:left="360" w:hanging="360"/>
      </w:pPr>
      <w:r>
        <w:rPr>
          <w:rFonts w:ascii="Calibri" w:hAnsi="Calibri"/>
          <w:b/>
          <w:color w:val="525866"/>
          <w:sz w:val="22"/>
        </w:rPr>
        <w:t xml:space="preserve">China Chip Competition (CXMT / Geopolitical): </w:t>
      </w:r>
      <w:r>
        <w:rPr>
          <w:rFonts w:ascii="Calibri" w:hAnsi="Calibri"/>
          <w:color w:val="525866"/>
          <w:sz w:val="22"/>
        </w:rPr>
        <w:t>The July 27 selloff in chip stocks was triggered by a Chinese memory chip maker’s IPO and reports of Chinese firms mass-producing chip-making equipment. While STX’s HDD business does not directly compete with DRAM/NAND, any escalation in US-China tech restrictions could affect STX’s China assembly operations (Thailand serves rest of world; China serves Chinese customers). Management has noted minimal expected impact from tariffs as of Q3.</w:t>
      </w:r>
    </w:p>
    <w:p>
      <w:pPr>
        <w:pStyle w:val="ListBullet"/>
        <w:ind w:left="360" w:hanging="360"/>
      </w:pPr>
      <w:r>
        <w:rPr>
          <w:rFonts w:ascii="Calibri" w:hAnsi="Calibri"/>
          <w:b/>
          <w:color w:val="525866"/>
          <w:sz w:val="22"/>
        </w:rPr>
        <w:t xml:space="preserve">Hyperscaler CapEx Moderation: </w:t>
      </w:r>
      <w:r>
        <w:rPr>
          <w:rFonts w:ascii="Calibri" w:hAnsi="Calibri"/>
          <w:color w:val="525866"/>
          <w:sz w:val="22"/>
        </w:rPr>
        <w:t>HDD represents only low-to-mid single digit % of total hyperscaler CapEx, providing structural insulation. However, any signal of CapEx deceleration from major cloud customers could pressure the stock multiple even if near-term demand remains strong.</w:t>
      </w:r>
    </w:p>
    <w:p>
      <w:pPr>
        <w:pStyle w:val="ListBullet"/>
        <w:ind w:left="360" w:hanging="360"/>
      </w:pPr>
      <w:r>
        <w:rPr>
          <w:rFonts w:ascii="Calibri" w:hAnsi="Calibri"/>
          <w:b/>
          <w:color w:val="525866"/>
          <w:sz w:val="22"/>
        </w:rPr>
        <w:t xml:space="preserve">Convertible Note Dilution: </w:t>
      </w:r>
      <w:r>
        <w:rPr>
          <w:rFonts w:ascii="Calibri" w:hAnsi="Calibri"/>
          <w:color w:val="525866"/>
          <w:sz w:val="22"/>
        </w:rPr>
        <w:t>The June 11 redemption call for the 3.50% Exchangeable Senior Notes due 2028 (redemption date September 8, 2026) introduces potential share dilution if holders elect to exchange rather than receive cash. The exchange rate is 12.1363 shares per $1,000 principal. Management has elected to pay principal in cash and settle excess in shares, limiting but not eliminating dilution risk.</w:t>
      </w:r>
    </w:p>
    <w:p>
      <w:pPr>
        <w:pStyle w:val="ListBullet"/>
        <w:ind w:left="360" w:hanging="360"/>
      </w:pPr>
      <w:r>
        <w:rPr>
          <w:rFonts w:ascii="Calibri" w:hAnsi="Calibri"/>
          <w:b/>
          <w:color w:val="525866"/>
          <w:sz w:val="22"/>
        </w:rPr>
        <w:t xml:space="preserve">Supply Chain Concentration: </w:t>
      </w:r>
      <w:r>
        <w:rPr>
          <w:rFonts w:ascii="Calibri" w:hAnsi="Calibri"/>
          <w:color w:val="525866"/>
          <w:sz w:val="22"/>
        </w:rPr>
        <w:t>Seagate’s manufacturing is geographically specialized with no redundancy by design (Singapore: disks; Malaysia: substrates; China/Thailand: assembly; US/Northern Ireland: heads). Any disruption to a single node could materially impact production. Greenfield capacity addition would take 2+ years.</w:t>
      </w:r>
    </w:p>
    <w:p>
      <w:pPr>
        <w:pStyle w:val="Heading3"/>
      </w:pPr>
      <w:r>
        <w:rPr>
          <w:rFonts w:ascii="Calibri" w:hAnsi="Calibri"/>
          <w:b/>
          <w:color w:val="3B4259"/>
          <w:sz w:val="24"/>
        </w:rPr>
        <w:t>Key Questions for the Earnings Call</w:t>
      </w:r>
    </w:p>
    <w:p>
      <w:pPr>
        <w:pStyle w:val="ListNumber"/>
        <w:ind w:left="360" w:hanging="360"/>
      </w:pPr>
      <w:r>
        <w:rPr>
          <w:rFonts w:ascii="Calibri" w:hAnsi="Calibri"/>
          <w:b/>
          <w:color w:val="525866"/>
          <w:sz w:val="22"/>
        </w:rPr>
        <w:t xml:space="preserve">Q1 FY2027 Gross Margin Guide: </w:t>
      </w:r>
      <w:r>
        <w:rPr>
          <w:rFonts w:ascii="Calibri" w:hAnsi="Calibri"/>
          <w:color w:val="525866"/>
          <w:sz w:val="22"/>
        </w:rPr>
        <w:t>Will management guide Q1 FY2027 gross margin above 50%? This is the single most important data point for the stock. Management has said there is "no ceiling" — does the guide reflect that?</w:t>
      </w:r>
    </w:p>
    <w:p>
      <w:pPr>
        <w:pStyle w:val="ListNumber"/>
        <w:ind w:left="360" w:hanging="360"/>
      </w:pPr>
      <w:r>
        <w:rPr>
          <w:rFonts w:ascii="Calibri" w:hAnsi="Calibri"/>
          <w:b/>
          <w:color w:val="525866"/>
          <w:sz w:val="22"/>
        </w:rPr>
        <w:t xml:space="preserve">Mozaic 4+ Qualification Status: </w:t>
      </w:r>
      <w:r>
        <w:rPr>
          <w:rFonts w:ascii="Calibri" w:hAnsi="Calibri"/>
          <w:color w:val="525866"/>
          <w:sz w:val="22"/>
        </w:rPr>
        <w:t>Were the remaining two CSPs qualified on Mozaic 4+ during Q4 as guided? What is the timeline for Mozaic 4+ to represent the majority of HAMR exabyte shipments?</w:t>
      </w:r>
    </w:p>
    <w:p>
      <w:pPr>
        <w:pStyle w:val="ListNumber"/>
        <w:ind w:left="360" w:hanging="360"/>
      </w:pPr>
      <w:r>
        <w:rPr>
          <w:rFonts w:ascii="Calibri" w:hAnsi="Calibri"/>
          <w:b/>
          <w:color w:val="525866"/>
          <w:sz w:val="22"/>
        </w:rPr>
        <w:t xml:space="preserve">HAMR Exabyte Crossover: </w:t>
      </w:r>
      <w:r>
        <w:rPr>
          <w:rFonts w:ascii="Calibri" w:hAnsi="Calibri"/>
          <w:color w:val="525866"/>
          <w:sz w:val="22"/>
        </w:rPr>
        <w:t>Is the 50% HAMR exabyte crossover target for end of calendar 2026 still on track? What % of nearline exabytes were HAMR in Q4?</w:t>
      </w:r>
    </w:p>
    <w:p>
      <w:pPr>
        <w:pStyle w:val="ListNumber"/>
        <w:ind w:left="360" w:hanging="360"/>
      </w:pPr>
      <w:r>
        <w:rPr>
          <w:rFonts w:ascii="Calibri" w:hAnsi="Calibri"/>
          <w:b/>
          <w:color w:val="525866"/>
          <w:sz w:val="22"/>
        </w:rPr>
        <w:t xml:space="preserve">Pricing Trajectory: </w:t>
      </w:r>
      <w:r>
        <w:rPr>
          <w:rFonts w:ascii="Calibri" w:hAnsi="Calibri"/>
          <w:color w:val="525866"/>
          <w:sz w:val="22"/>
        </w:rPr>
        <w:t>CFO Romano indicated pricing is tracking "low double digit" YoY at the TD Cowen conference (May 27). Is this still the case? What is the pricing outlook for FY2027?</w:t>
      </w:r>
    </w:p>
    <w:p>
      <w:pPr>
        <w:pStyle w:val="ListNumber"/>
        <w:ind w:left="360" w:hanging="360"/>
      </w:pPr>
      <w:r>
        <w:rPr>
          <w:rFonts w:ascii="Calibri" w:hAnsi="Calibri"/>
          <w:b/>
          <w:color w:val="525866"/>
          <w:sz w:val="22"/>
        </w:rPr>
        <w:t xml:space="preserve">Capital Return Acceleration: </w:t>
      </w:r>
      <w:r>
        <w:rPr>
          <w:rFonts w:ascii="Calibri" w:hAnsi="Calibri"/>
          <w:color w:val="525866"/>
          <w:sz w:val="22"/>
        </w:rPr>
        <w:t>With convertible debt nearly retired, how much of Q4 FCF went to buybacks vs. debt repayment? What is the expected buyback cadence in FY2027?</w:t>
      </w:r>
    </w:p>
    <w:p>
      <w:pPr>
        <w:pStyle w:val="ListNumber"/>
        <w:ind w:left="360" w:hanging="360"/>
      </w:pPr>
      <w:r>
        <w:rPr>
          <w:rFonts w:ascii="Calibri" w:hAnsi="Calibri"/>
          <w:b/>
          <w:color w:val="525866"/>
          <w:sz w:val="22"/>
        </w:rPr>
        <w:t xml:space="preserve">China / Tariff Impact: </w:t>
      </w:r>
      <w:r>
        <w:rPr>
          <w:rFonts w:ascii="Calibri" w:hAnsi="Calibri"/>
          <w:color w:val="525866"/>
          <w:sz w:val="22"/>
        </w:rPr>
        <w:t>Has the geopolitical environment (CXMT, chip equipment) changed management’s view on the China business or supply chain risk? Any update on tariff exposure?</w:t>
      </w:r>
    </w:p>
    <w:p>
      <w:pPr>
        <w:pStyle w:val="ListNumber"/>
        <w:ind w:left="360" w:hanging="360"/>
      </w:pPr>
      <w:r>
        <w:rPr>
          <w:rFonts w:ascii="Calibri" w:hAnsi="Calibri"/>
          <w:b/>
          <w:color w:val="525866"/>
          <w:sz w:val="22"/>
        </w:rPr>
        <w:t xml:space="preserve">FY2027 Revenue Visibility: </w:t>
      </w:r>
      <w:r>
        <w:rPr>
          <w:rFonts w:ascii="Calibri" w:hAnsi="Calibri"/>
          <w:color w:val="525866"/>
          <w:sz w:val="22"/>
        </w:rPr>
        <w:t>Management has stated customer exabyte demand for years 2–4 is "materially above current internal plan." Can management provide any quantitative color on FY2027 build-to-order contract finalization progress?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