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57af4d47e5acce197d8973812dfcb6c092a3604"/>
    <w:p>
      <w:pPr>
        <w:pStyle w:val="Heading1"/>
      </w:pPr>
      <w:r>
        <w:t xml:space="preserve">Smurfit Westrock (NYSE: SW) — Q2 2026 Earnings Preview</w:t>
      </w:r>
    </w:p>
    <w:bookmarkStart w:id="9" w:name="X7cc2af0ca0a129ff1194c2b6583d80f7927d920"/>
    <w:p>
      <w:pPr>
        <w:pStyle w:val="Heading3"/>
      </w:pPr>
      <w:r>
        <w:t xml:space="preserve">Report date: Wednesday, July 29, 2026 (before-market; management call at 7:30 AM ET / 12:30 PM BST)</w:t>
      </w:r>
    </w:p>
    <w:p>
      <w:r>
        <w:pict>
          <v:rect style="width:0;height:1.5pt" o:hralign="center" o:hrstd="t" o:hr="t"/>
        </w:pict>
      </w:r>
    </w:p>
    <w:bookmarkEnd w:id="9"/>
    <w:bookmarkStart w:id="10" w:name="Xcf602bb59f385f52efb23d9927aeddbbc26ab65"/>
    <w:p>
      <w:pPr>
        <w:pStyle w:val="Heading2"/>
      </w:pPr>
      <w:r>
        <w:t xml:space="preserve">1. The one-line setup</w:t>
      </w:r>
    </w:p>
    <w:p>
      <w:pPr>
        <w:pStyle w:val="FirstParagraph"/>
      </w:pPr>
      <w:r>
        <w:t xml:space="preserve">SW reports into a</w:t>
      </w:r>
      <w:r>
        <w:t xml:space="preserve"> </w:t>
      </w:r>
      <w:r>
        <w:rPr>
          <w:b/>
          <w:bCs/>
        </w:rPr>
        <w:t xml:space="preserve">sharply improving industry tape</w:t>
      </w:r>
      <w:r>
        <w:t xml:space="preserve">. Management flagged on the Q1 call (April 30) that demand had inflected "radically" and that the company was effectively</w:t>
      </w:r>
      <w:r>
        <w:t xml:space="preserve"> </w:t>
      </w:r>
      <w:r>
        <w:rPr>
          <w:b/>
          <w:bCs/>
        </w:rPr>
        <w:t xml:space="preserve">sold out across nearly all paper grades</w:t>
      </w:r>
      <w:r>
        <w:t xml:space="preserve"> </w:t>
      </w:r>
      <w:r>
        <w:t xml:space="preserve">— and the sell-side has since caught up. Just yesterday (7/28), International Paper announced an **</w:t>
      </w:r>
      <m:oMath>
        <m:r>
          <m:t>80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t>c</m:t>
        </m:r>
        <m:r>
          <m:t>o</m:t>
        </m:r>
        <m:r>
          <m:t>n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r</m:t>
        </m:r>
        <m:r>
          <m:t>b</m:t>
        </m:r>
        <m:r>
          <m:t>o</m:t>
        </m:r>
        <m:r>
          <m:t>a</m:t>
        </m:r>
        <m:r>
          <m:t>r</m:t>
        </m:r>
        <m:r>
          <m:t>d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e</m:t>
        </m:r>
        <m:r>
          <m:t>f</m:t>
        </m:r>
        <m:r>
          <m:t>f</m:t>
        </m:r>
        <m:r>
          <m:t>e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S</m:t>
        </m:r>
        <m:r>
          <m:t>e</m:t>
        </m:r>
        <m:r>
          <m:t>p</m:t>
        </m:r>
        <m:r>
          <m:t>t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J</m:t>
        </m:r>
        <m:r>
          <m:rPr>
            <m:sty m:val="p"/>
          </m:rPr>
          <m:t>.</m:t>
        </m:r>
        <m:r>
          <m:t>P</m:t>
        </m:r>
        <m:r>
          <m:rPr>
            <m:sty m:val="p"/>
          </m:rPr>
          <m:t>.</m:t>
        </m:r>
        <m:r>
          <m:t>M</m:t>
        </m:r>
        <m:r>
          <m:t>o</m:t>
        </m:r>
        <m:r>
          <m:t>r</m:t>
        </m:r>
        <m:r>
          <m:t>g</m:t>
        </m:r>
        <m:r>
          <m:t>a</m:t>
        </m:r>
        <m:r>
          <m:t>n</m:t>
        </m:r>
        <m:r>
          <m:t>u</m:t>
        </m:r>
        <m:r>
          <m:t>p</m:t>
        </m:r>
        <m:r>
          <m:t>g</m:t>
        </m:r>
        <m:r>
          <m:t>r</m:t>
        </m:r>
        <m:r>
          <m:t>a</m:t>
        </m:r>
        <m:r>
          <m:t>d</m:t>
        </m:r>
        <m:r>
          <m:t>e</m:t>
        </m:r>
        <m:r>
          <m:t>d</m:t>
        </m:r>
        <m:r>
          <m:t>I</m:t>
        </m:r>
        <m:r>
          <m:t>P</m:t>
        </m:r>
        <m:r>
          <m:t>t</m:t>
        </m:r>
        <m:r>
          <m:t>o</m:t>
        </m:r>
        <m:r>
          <m:t>O</m:t>
        </m:r>
        <m:r>
          <m:t>v</m:t>
        </m:r>
        <m:r>
          <m:t>e</m:t>
        </m:r>
        <m:r>
          <m:t>r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w</m:t>
        </m:r>
        <m:r>
          <m:t>h</m:t>
        </m:r>
        <m:r>
          <m:t>o</m:t>
        </m:r>
        <m:r>
          <m:t>l</m:t>
        </m:r>
        <m:r>
          <m:t>e</m:t>
        </m:r>
        <m:r>
          <m:t>b</m:t>
        </m:r>
        <m:r>
          <m:t>o</m:t>
        </m:r>
        <m:r>
          <m:t>x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x</m:t>
        </m:r>
        <m:r>
          <m:t>r</m:t>
        </m:r>
        <m:r>
          <m:t>i</m:t>
        </m:r>
        <m:r>
          <m:t>p</m:t>
        </m:r>
        <m:r>
          <m:t>p</m:t>
        </m:r>
        <m:r>
          <m:t>e</m:t>
        </m:r>
        <m:r>
          <m:t>d</m:t>
        </m:r>
        <m:r>
          <m:rPr>
            <m:sty m:val="p"/>
          </m:rPr>
          <m:t>:</m:t>
        </m:r>
        <m:r>
          <m:t>S</m:t>
        </m:r>
        <m:r>
          <m:t>W</m:t>
        </m:r>
        <m:r>
          <m:t>j</m:t>
        </m:r>
        <m:r>
          <m:t>u</m:t>
        </m:r>
        <m:r>
          <m:t>m</m:t>
        </m:r>
        <m:r>
          <m:t>p</m:t>
        </m:r>
        <m:r>
          <m:t>e</m:t>
        </m:r>
        <m:r>
          <m:t>d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43.7 (7/23) to **</w:t>
      </w:r>
      <m:oMath>
        <m:r>
          <m:t>50.82</m:t>
        </m:r>
        <m:r>
          <m:rPr>
            <m:sty m:val="p"/>
          </m:rPr>
          <m:t>(</m:t>
        </m:r>
        <m:r>
          <m:t>7</m:t>
        </m:r>
        <m:r>
          <m:rPr>
            <m:sty m:val="p"/>
          </m:rPr>
          <m:t>/</m:t>
        </m:r>
        <m:r>
          <m:t>28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 </m:t>
        </m:r>
        <m:r>
          <m:rPr>
            <m:sty m:val="p"/>
          </m:rPr>
          <m:t>+</m:t>
        </m:r>
        <m:r>
          <m:t>16</m:t>
        </m:r>
      </m:oMath>
      <w:r>
        <w:t xml:space="preserve">36).</w:t>
      </w:r>
    </w:p>
    <w:p>
      <w:pPr>
        <w:pStyle w:val="BodyText"/>
      </w:pPr>
      <w:r>
        <w:t xml:space="preserve">So the bar going in is no longer "is demand okay?" — the market has already re-rated on the demand/pricing thesis. The question for this print is</w:t>
      </w:r>
      <w:r>
        <w:t xml:space="preserve"> </w:t>
      </w:r>
      <w:r>
        <w:rPr>
          <w:b/>
          <w:bCs/>
        </w:rPr>
        <w:t xml:space="preserve">execution and confirmation</w:t>
      </w:r>
      <w:r>
        <w:t xml:space="preserve">: did the Q2 number land in the guided range, did management raise/reaffirm the year, and do they endorse the new pricing round.</w:t>
      </w:r>
    </w:p>
    <w:p>
      <w:r>
        <w:pict>
          <v:rect style="width:0;height:1.5pt" o:hralign="center" o:hrstd="t" o:hr="t"/>
        </w:pict>
      </w:r>
    </w:p>
    <w:bookmarkEnd w:id="10"/>
    <w:bookmarkStart w:id="11" w:name="X63d4ae5e302d86aeb5f36233d2b33e977c175e6"/>
    <w:p>
      <w:pPr>
        <w:pStyle w:val="Heading2"/>
      </w:pPr>
      <w:r>
        <w:t xml:space="preserve">2. What the numbers need to show</w:t>
      </w:r>
    </w:p>
    <w:p>
      <w:pPr>
        <w:pStyle w:val="FirstParagraph"/>
      </w:pPr>
      <w:r>
        <w:rPr>
          <w:b/>
          <w:bCs/>
        </w:rPr>
        <w:t xml:space="preserve">Guidance for Q2 2026 (given at Q1 call):</w:t>
      </w:r>
      <w:r>
        <w:t xml:space="preserve"> </w:t>
      </w:r>
      <w:r>
        <w:t xml:space="preserve">Adjusted EBITDA of</w:t>
      </w:r>
      <w:r>
        <w:t xml:space="preserve"> </w:t>
      </w:r>
      <m:oMath>
        <m:r>
          <m:t>1.1</m:t>
        </m:r>
        <m:r>
          <m:rPr>
            <m:sty m:val="p"/>
          </m:rPr>
          <m:t>–</m:t>
        </m:r>
        <m:r>
          <m:t>1.2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2026</m:t>
        </m:r>
        <m:r>
          <m:t>r</m:t>
        </m:r>
        <m:r>
          <m:t>e</m:t>
        </m:r>
        <m:r>
          <m:t>a</m:t>
        </m:r>
        <m:r>
          <m:t>f</m:t>
        </m:r>
        <m:r>
          <m:t>f</m:t>
        </m:r>
        <m:r>
          <m:t>i</m:t>
        </m:r>
        <m:r>
          <m:t>r</m:t>
        </m:r>
        <m:r>
          <m:t>m</m:t>
        </m:r>
        <m:r>
          <m:t>e</m:t>
        </m:r>
        <m:r>
          <m:t>d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5.0–5.3 billion</w:t>
      </w:r>
      <w:r>
        <w:t xml:space="preserve">.</w:t>
      </w:r>
    </w:p>
    <w:p>
      <w:pPr>
        <w:pStyle w:val="BodyText"/>
      </w:pPr>
      <w:r>
        <w:t xml:space="preserve">Key year-ago comparison (Q2 2025):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(actual)</w:t>
            </w:r>
          </w:p>
        </w:tc>
        <w:tc>
          <w:tcPr/>
          <w:p>
            <w:pPr>
              <w:pStyle w:val="Compact"/>
            </w:pPr>
            <w:r>
              <w:t xml:space="preserve">Q2 2026 (guide)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$7,940M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$1,213M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$1,100–1,200M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15.3%</w:t>
            </w:r>
          </w:p>
        </w:tc>
        <w:tc>
          <w:tcPr/>
          <w:p>
            <w:pPr>
              <w:pStyle w:val="Compact"/>
            </w:pPr>
            <w:r>
              <w:t xml:space="preserve">~14–15% (implied)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nuance most investors will miss:</w:t>
      </w:r>
      <w:r>
        <w:t xml:space="preserve"> </w:t>
      </w:r>
      <w:r>
        <w:t xml:space="preserve">the Q2 guide midpoint (~$1.15B) is actually</w:t>
      </w:r>
      <w:r>
        <w:t xml:space="preserve"> </w:t>
      </w:r>
      <w:r>
        <w:rPr>
          <w:b/>
          <w:bCs/>
        </w:rPr>
        <w:t xml:space="preserve">down ~5% year-over-year</w:t>
      </w:r>
      <w:r>
        <w:t xml:space="preserve"> </w:t>
      </w:r>
      <w:r>
        <w:t xml:space="preserve">vs. the $1,213M SW printed in Q2 2025. So a simple "hit the guide" is a</w:t>
      </w:r>
      <w:r>
        <w:t xml:space="preserve"> </w:t>
      </w:r>
      <w:r>
        <w:rPr>
          <w:i/>
          <w:iCs/>
        </w:rPr>
        <w:t xml:space="preserve">decline</w:t>
      </w:r>
      <w:r>
        <w:t xml:space="preserve"> </w:t>
      </w:r>
      <w:r>
        <w:t xml:space="preserve">against a tough comp. The bull case rests on the</w:t>
      </w:r>
      <w:r>
        <w:t xml:space="preserve"> </w:t>
      </w:r>
      <w:r>
        <w:rPr>
          <w:b/>
          <w:bCs/>
        </w:rPr>
        <w:t xml:space="preserve">sequential ramp</w:t>
      </w:r>
      <w:r>
        <w:t xml:space="preserve"> </w:t>
      </w:r>
      <w:r>
        <w:t xml:space="preserve">(Q1 2026 was only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076</m:t>
        </m:r>
        <m:r>
          <m:t>M</m:t>
        </m:r>
        <m:r>
          <m:rPr>
            <m:sty m:val="p"/>
          </m:rPr>
          <m:t>,</m:t>
        </m:r>
        <m:r>
          <m:t>d</m:t>
        </m:r>
        <m:r>
          <m:t>e</m:t>
        </m:r>
        <m:r>
          <m:t>n</m:t>
        </m:r>
        <m:r>
          <m:t>t</m:t>
        </m:r>
        <m:r>
          <m:t>e</m:t>
        </m:r>
        <m:r>
          <m:t>d</m:t>
        </m:r>
        <m:r>
          <m:t>b</m:t>
        </m:r>
        <m:r>
          <m:t>y</m:t>
        </m:r>
        <m:r>
          <m:t> </m:t>
        </m:r>
      </m:oMath>
      <w:r>
        <w:t xml:space="preserve">65M of weather) and the</w:t>
      </w:r>
      <w:r>
        <w:t xml:space="preserve"> </w:t>
      </w:r>
      <w:r>
        <w:rPr>
          <w:b/>
          <w:bCs/>
        </w:rPr>
        <w:t xml:space="preserve">second-half acceleration</w:t>
      </w:r>
      <w:r>
        <w:t xml:space="preserve"> </w:t>
      </w:r>
      <w:r>
        <w:t xml:space="preserve">story, not on the Q2 headline itself. Watch whether SW:</w:t>
      </w:r>
    </w:p>
    <w:p>
      <w:pPr>
        <w:pStyle w:val="Compact"/>
        <w:numPr>
          <w:ilvl w:val="0"/>
          <w:numId w:val="1001"/>
        </w:numPr>
      </w:pPr>
      <w:r>
        <w:t xml:space="preserve">Lands at the</w:t>
      </w:r>
      <w:r>
        <w:t xml:space="preserve"> </w:t>
      </w:r>
      <w:r>
        <w:rPr>
          <w:b/>
          <w:bCs/>
        </w:rPr>
        <w:t xml:space="preserve">high end</w:t>
      </w:r>
      <w:r>
        <w:t xml:space="preserve"> </w:t>
      </w:r>
      <w:r>
        <w:t xml:space="preserve">($1.2B) or beats — the recent stock move implies the market expects the top of the range or better.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Raises or narrows up</w:t>
      </w:r>
      <w:r>
        <w:t xml:space="preserve"> </w:t>
      </w:r>
      <w:r>
        <w:t xml:space="preserve">the full-year $5.0–5.3B range. A reaffirm-only could be a "sell the news" risk after a 16% run.</w:t>
      </w:r>
    </w:p>
    <w:p>
      <w:pPr>
        <w:pStyle w:val="FirstParagraph"/>
      </w:pPr>
      <w:r>
        <w:rPr>
          <w:b/>
          <w:bCs/>
        </w:rPr>
        <w:t xml:space="preserve">Q1 2026 recap (the jumping-off point):</w:t>
      </w:r>
      <w:r>
        <w:t xml:space="preserve"> </w:t>
      </w:r>
      <w:r>
        <w:t xml:space="preserve">Net sales $7,712M; Adjusted EBITDA $1,076M (14.0% margin); net income just $63M /</w:t>
      </w:r>
      <w:r>
        <w:t xml:space="preserve"> </w:t>
      </w:r>
      <m:oMath>
        <m:r>
          <m:t>0.12</m:t>
        </m:r>
        <m:r>
          <m:t>b</m:t>
        </m:r>
        <m:r>
          <m:t>a</m:t>
        </m:r>
        <m:r>
          <m:t>s</m:t>
        </m:r>
        <m:r>
          <m:t>i</m:t>
        </m:r>
        <m:r>
          <m:t>c</m:t>
        </m:r>
        <m:r>
          <m:t>E</m:t>
        </m:r>
        <m:r>
          <m:t>P</m:t>
        </m:r>
        <m:r>
          <m:t>S</m:t>
        </m:r>
        <m:r>
          <m:rPr>
            <m:sty m:val="p"/>
          </m:rPr>
          <m:t>(</m:t>
        </m:r>
      </m:oMath>
      <w:r>
        <w:t xml:space="preserve">0.33 adjusted); operating cash flow a soft $204M on seasonal working-capital build and $624M capex.</w:t>
      </w:r>
    </w:p>
    <w:p>
      <w:pPr>
        <w:pStyle w:val="BodyText"/>
      </w:pPr>
      <w:r>
        <w:t xml:space="preserve">Q1 2026 segment marks (for modeling the sequential build):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North America:</w:t>
      </w:r>
      <w:r>
        <w:t xml:space="preserve"> </w:t>
      </w:r>
      <m:oMath>
        <m:r>
          <m:t>597</m:t>
        </m:r>
        <m:r>
          <m:t>M</m:t>
        </m:r>
        <m:r>
          <m:rPr>
            <m:sty m:val="p"/>
          </m:rPr>
          <m:t>,</m:t>
        </m:r>
        <m:r>
          <m:t>13.3</m:t>
        </m:r>
      </m:oMath>
      <w:r>
        <w:t xml:space="preserve">55M weather + $74M downtime, half unplanned)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EMEA &amp; APAC:</w:t>
      </w:r>
      <w:r>
        <w:t xml:space="preserve"> </w:t>
      </w:r>
      <w:r>
        <w:t xml:space="preserve">$421M, 15.2% margin (outperforming European peers)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LATAM:</w:t>
      </w:r>
      <w:r>
        <w:t xml:space="preserve"> </w:t>
      </w:r>
      <w:r>
        <w:t xml:space="preserve">$109M, 20.2% margin</w:t>
      </w:r>
    </w:p>
    <w:p>
      <w:r>
        <w:pict>
          <v:rect style="width:0;height:1.5pt" o:hralign="center" o:hrstd="t" o:hr="t"/>
        </w:pict>
      </w:r>
    </w:p>
    <w:bookmarkEnd w:id="11"/>
    <w:bookmarkStart w:id="12" w:name="Xff0ccfe309cc58130df9108c261090aca288c90"/>
    <w:p>
      <w:pPr>
        <w:pStyle w:val="Heading2"/>
      </w:pPr>
      <w:r>
        <w:t xml:space="preserve">3. The five things that actually matter on the call</w:t>
      </w:r>
    </w:p>
    <w:p>
      <w:pPr>
        <w:pStyle w:val="FirstParagraph"/>
      </w:pPr>
      <w:r>
        <w:rPr>
          <w:b/>
          <w:bCs/>
        </w:rPr>
        <w:t xml:space="preserve">1) Pricing — do they endorse the new round?</w:t>
      </w:r>
      <w:r>
        <w:t xml:space="preserve"> </w:t>
      </w:r>
      <w:r>
        <w:t xml:space="preserve">This is the swing factor. In North America, SW realized</w:t>
      </w:r>
      <w:r>
        <w:t xml:space="preserve"> </w:t>
      </w:r>
      <w:r>
        <w:rPr>
          <w:b/>
          <w:bCs/>
        </w:rPr>
        <w:t xml:space="preserve">+</w:t>
      </w:r>
      <m:oMath>
        <m:r>
          <m:t>20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n</m:t>
        </m:r>
        <m:r>
          <m:t>d</m:t>
        </m:r>
        <m:r>
          <m:rPr>
            <m:sty m:val="p"/>
          </m:rPr>
          <m:t>+</m:t>
        </m:r>
      </m:oMath>
      <w:r>
        <w:rPr>
          <w:b/>
          <w:bCs/>
        </w:rPr>
        <w:t xml:space="preserve">30/ton in April</w:t>
      </w:r>
      <w:r>
        <w:t xml:space="preserve">, with a further</w:t>
      </w:r>
      <w:r>
        <w:t xml:space="preserve"> </w:t>
      </w:r>
      <w:r>
        <w:rPr>
          <w:b/>
          <w:bCs/>
        </w:rPr>
        <w:t xml:space="preserve">$50/ton announced (June)** — management expected the first tranche fully implemented by July 1 and the second by September "if it goes through." Now IP has put an **$</w:t>
      </w:r>
      <w:r>
        <w:rPr>
          <w:b/>
          <w:bCs/>
        </w:rPr>
        <w:t xml:space="preserve">80/ton increase on the table for Sept 1</w:t>
      </w:r>
      <w:r>
        <w:t xml:space="preserve">. Listen for whether SW confirms following it and how much price is</w:t>
      </w:r>
      <w:r>
        <w:t xml:space="preserve"> </w:t>
      </w:r>
      <w:r>
        <w:rPr>
          <w:i/>
          <w:iCs/>
        </w:rPr>
        <w:t xml:space="preserve">already in</w:t>
      </w:r>
      <w:r>
        <w:t xml:space="preserve"> </w:t>
      </w:r>
      <w:r>
        <w:t xml:space="preserve">the reaffirmed guide. Management was explicit at Q1 that the announced hikes were</w:t>
      </w:r>
      <w:r>
        <w:t xml:space="preserve"> </w:t>
      </w:r>
      <w:r>
        <w:rPr>
          <w:b/>
          <w:bCs/>
        </w:rPr>
        <w:t xml:space="preserve">not fully baked into the forecast</w:t>
      </w:r>
      <w:r>
        <w:t xml:space="preserve">, which is the source of the upside optionality.</w:t>
      </w:r>
    </w:p>
    <w:p>
      <w:pPr>
        <w:pStyle w:val="BodyText"/>
      </w:pPr>
      <w:r>
        <w:rPr>
          <w:b/>
          <w:bCs/>
        </w:rPr>
        <w:t xml:space="preserve">2) Volume inflection — is it real and sustainable?</w:t>
      </w:r>
      <w:r>
        <w:t xml:space="preserve"> </w:t>
      </w:r>
      <w:r>
        <w:t xml:space="preserve">NA corrugated was</w:t>
      </w:r>
      <w:r>
        <w:t xml:space="preserve"> </w:t>
      </w:r>
      <w:r>
        <w:rPr>
          <w:b/>
          <w:bCs/>
        </w:rPr>
        <w:t xml:space="preserve">down ~8.5% in Q4, ~7% in Q1, and ~4% in April</w:t>
      </w:r>
      <w:r>
        <w:t xml:space="preserve">, against easing comps. SW onboarded</w:t>
      </w:r>
      <w:r>
        <w:t xml:space="preserve"> </w:t>
      </w:r>
      <w:r>
        <w:rPr>
          <w:b/>
          <w:bCs/>
        </w:rPr>
        <w:t xml:space="preserve">600+ new corrugated customers in Q1</w:t>
      </w:r>
      <w:r>
        <w:t xml:space="preserve">, with April new-customer volume</w:t>
      </w:r>
      <w:r>
        <w:t xml:space="preserve"> </w:t>
      </w:r>
      <w:r>
        <w:rPr>
          <w:b/>
          <w:bCs/>
        </w:rPr>
        <w:t xml:space="preserve">+30% vs. March</w:t>
      </w:r>
      <w:r>
        <w:t xml:space="preserve">. Management guided to</w:t>
      </w:r>
      <w:r>
        <w:t xml:space="preserve"> </w:t>
      </w:r>
      <w:r>
        <w:rPr>
          <w:b/>
          <w:bCs/>
        </w:rPr>
        <w:t xml:space="preserve">volume growth in H2</w:t>
      </w:r>
      <w:r>
        <w:t xml:space="preserve"> </w:t>
      </w:r>
      <w:r>
        <w:t xml:space="preserve">as new business is onboarded and comps get easier. Key debate: how much of the demand surge is genuine restocking/end-demand vs.</w:t>
      </w:r>
      <w:r>
        <w:t xml:space="preserve"> </w:t>
      </w:r>
      <w:r>
        <w:rPr>
          <w:b/>
          <w:bCs/>
        </w:rPr>
        <w:t xml:space="preserve">pre-buying ahead of price increases</w:t>
      </w:r>
      <w:r>
        <w:t xml:space="preserve"> </w:t>
      </w:r>
      <w:r>
        <w:t xml:space="preserve">— Tony conceded some pre-buy is "very possible." Any commentary that the July order book has held (vs. faded post price-hike) is important.</w:t>
      </w:r>
    </w:p>
    <w:p>
      <w:pPr>
        <w:pStyle w:val="BodyText"/>
      </w:pPr>
      <w:r>
        <w:rPr>
          <w:b/>
          <w:bCs/>
        </w:rPr>
        <w:t xml:space="preserve">3) Cost inflation — energy and freight are the offsets.</w:t>
      </w:r>
      <w:r>
        <w:t xml:space="preserve"> </w:t>
      </w:r>
      <w:r>
        <w:t xml:space="preserve">The bridge got worse through the year: energy was guided up from ~</w:t>
      </w:r>
      <m:oMath>
        <m:r>
          <m:t>80</m:t>
        </m:r>
        <m:r>
          <m:t>M</m:t>
        </m:r>
        <m:r>
          <m:rPr>
            <m:sty m:val="p"/>
          </m:rPr>
          <m:t>(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rPr>
            <m:sty m:val="p"/>
          </m:rPr>
          <m:t>)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270–290M for 2026**; **freight ~</w:t>
      </w:r>
      <m:oMath>
        <m:r>
          <m:t>50</m:t>
        </m:r>
        <m:r>
          <m:t>M</m:t>
        </m:r>
        <m:r>
          <m:t>h</m:t>
        </m:r>
        <m:r>
          <m:t>e</m:t>
        </m:r>
        <m:r>
          <m:t>a</m:t>
        </m:r>
        <m:r>
          <m:t>d</m:t>
        </m:r>
        <m:r>
          <m:t>w</m:t>
        </m:r>
        <m:r>
          <m:t>i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f</m:t>
        </m:r>
        <m:r>
          <m:t>i</m:t>
        </m:r>
        <m:r>
          <m:t>b</m:t>
        </m:r>
        <m:r>
          <m:t>e</m:t>
        </m:r>
        <m:r>
          <m:t>r</m:t>
        </m:r>
        <m:r>
          <m:t> </m:t>
        </m:r>
      </m:oMath>
      <w:r>
        <w:t xml:space="preserve">20M higher in Q2. Partial offsets:</w:t>
      </w:r>
      <w:r>
        <w:t xml:space="preserve"> </w:t>
      </w:r>
      <w:r>
        <w:rPr>
          <w:b/>
          <w:bCs/>
        </w:rPr>
        <w:t xml:space="preserve">labor headwind cut to ~</w:t>
      </w:r>
      <m:oMath>
        <m:r>
          <m:t>50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rPr>
          <w:b/>
          <w:bCs/>
        </w:rPr>
        <w:t xml:space="preserve">100M) and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downtime a ~$40M QoQ tailwind</w:t>
      </w:r>
      <w:r>
        <w:rPr>
          <w:b/>
          <w:bCs/>
        </w:rPr>
        <w:t xml:space="preserve"> </w:t>
      </w:r>
      <w:r>
        <w:rPr>
          <w:b/>
          <w:bCs/>
        </w:rPr>
        <w:t xml:space="preserve">into Q2. Gas hedging: **~50% in Q2, ~1/3 in each of Q3/Q4</w:t>
      </w:r>
      <w:r>
        <w:t xml:space="preserve"> </w:t>
      </w:r>
      <w:r>
        <w:t xml:space="preserve">— so unhedged energy is a live risk into the back half. Watch the updated price/cost walk.</w:t>
      </w:r>
    </w:p>
    <w:p>
      <w:pPr>
        <w:pStyle w:val="BodyText"/>
      </w:pPr>
      <w:r>
        <w:rPr>
          <w:b/>
          <w:bCs/>
        </w:rPr>
        <w:t xml:space="preserve">4) Restructuring / self-help.</w:t>
      </w:r>
      <w:r>
        <w:t xml:space="preserve"> </w:t>
      </w:r>
      <w:r>
        <w:t xml:space="preserve">SW is consulting on closing a</w:t>
      </w:r>
      <w:r>
        <w:t xml:space="preserve"> </w:t>
      </w:r>
      <w:r>
        <w:rPr>
          <w:b/>
          <w:bCs/>
        </w:rPr>
        <w:t xml:space="preserve">~200kt UK containerboard mill</w:t>
      </w:r>
      <w:r>
        <w:t xml:space="preserve"> </w:t>
      </w:r>
      <w:r>
        <w:t xml:space="preserve">(its highest-cost mill) plus</w:t>
      </w:r>
      <w:r>
        <w:t xml:space="preserve"> </w:t>
      </w:r>
      <w:r>
        <w:rPr>
          <w:b/>
          <w:bCs/>
        </w:rPr>
        <w:t xml:space="preserve">four converting plants in the UK/Netherlands</w:t>
      </w:r>
      <w:r>
        <w:t xml:space="preserve"> </w:t>
      </w:r>
      <w:r>
        <w:t xml:space="preserve">— capacity discipline that's positive for the tight European market. Expect continued</w:t>
      </w:r>
      <w:r>
        <w:t xml:space="preserve"> </w:t>
      </w:r>
      <w:r>
        <w:rPr>
          <w:b/>
          <w:bCs/>
        </w:rPr>
        <w:t xml:space="preserve">impairment &amp; restructuring charges</w:t>
      </w:r>
      <w:r>
        <w:t xml:space="preserve"> </w:t>
      </w:r>
      <w:r>
        <w:t xml:space="preserve">to weigh on GAAP net income (Q1 had $54M; Q2 2025 carried $280M), so focus on adjusted metrics. In North America, loss-making box plants were cut from ~60–70 to ~29, with a goal of low-single-digits and 8–12% corrugated margins over time.</w:t>
      </w:r>
    </w:p>
    <w:p>
      <w:pPr>
        <w:pStyle w:val="BodyText"/>
      </w:pPr>
      <w:r>
        <w:rPr>
          <w:b/>
          <w:bCs/>
        </w:rPr>
        <w:t xml:space="preserve">5) The medium-term plan &amp; capital returns.</w:t>
      </w:r>
      <w:r>
        <w:t xml:space="preserve"> </w:t>
      </w:r>
      <w:r>
        <w:t xml:space="preserve">The February plan targets</w:t>
      </w:r>
      <w:r>
        <w:t xml:space="preserve"> </w:t>
      </w:r>
      <m:oMath>
        <m:r>
          <m:t>7</m:t>
        </m:r>
        <m:r>
          <m:t>B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a</m:t>
        </m:r>
        <m:r>
          <m:t>n</m:t>
        </m:r>
        <m:r>
          <m:t>d</m:t>
        </m:r>
        <m:r>
          <m:t>a</m:t>
        </m:r>
        <m:r>
          <m:t>19</m:t>
        </m:r>
      </m:oMath>
      <w:r>
        <w:rPr>
          <w:b/>
          <w:bCs/>
        </w:rPr>
        <w:t xml:space="preserve">14B of cumulative discretionary free cash flow</w:t>
      </w:r>
      <w:r>
        <w:t xml:space="preserve">. Any incremental proof points on synergy capture and the North American margin recovery (the "largest value creation opportunity") support the multiple.</w:t>
      </w:r>
    </w:p>
    <w:p>
      <w:r>
        <w:pict>
          <v:rect style="width:0;height:1.5pt" o:hralign="center" o:hrstd="t" o:hr="t"/>
        </w:pict>
      </w:r>
    </w:p>
    <w:bookmarkEnd w:id="12"/>
    <w:bookmarkStart w:id="13" w:name="X338c961b9102bf3dd0e0a00eaadd0f15bd2b623"/>
    <w:p>
      <w:pPr>
        <w:pStyle w:val="Heading2"/>
      </w:pPr>
      <w:r>
        <w:t xml:space="preserve">4. Housekeeping / secondary watch items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LSE listing review:</w:t>
      </w:r>
      <w:r>
        <w:t xml:space="preserve"> </w:t>
      </w:r>
      <w:r>
        <w:t xml:space="preserve">SW was reviewing its London (SWR) listing, with a possible</w:t>
      </w:r>
      <w:r>
        <w:t xml:space="preserve"> </w:t>
      </w:r>
      <w:r>
        <w:rPr>
          <w:b/>
          <w:bCs/>
        </w:rPr>
        <w:t xml:space="preserve">delisting from the LSE</w:t>
      </w:r>
      <w:r>
        <w:t xml:space="preserve"> </w:t>
      </w:r>
      <w:r>
        <w:t xml:space="preserve">(NYSE remains the primary listing), and said it expected to conclude the review in</w:t>
      </w:r>
      <w:r>
        <w:t xml:space="preserve"> </w:t>
      </w:r>
      <w:r>
        <w:rPr>
          <w:b/>
          <w:bCs/>
        </w:rPr>
        <w:t xml:space="preserve">May 2026</w:t>
      </w:r>
      <w:r>
        <w:t xml:space="preserve">. Look for a definitive update — a delisting simplifies structure/cost but is largely cosmetic for the US-listed shares.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Dividend:</w:t>
      </w:r>
      <w:r>
        <w:t xml:space="preserve"> </w:t>
      </w:r>
      <w:r>
        <w:t xml:space="preserve">Q1 quarterly dividend was</w:t>
      </w:r>
      <w:r>
        <w:t xml:space="preserve"> </w:t>
      </w:r>
      <w:r>
        <w:rPr>
          <w:b/>
          <w:bCs/>
        </w:rPr>
        <w:t xml:space="preserve">$0.4523/share</w:t>
      </w:r>
      <w:r>
        <w:t xml:space="preserve"> </w:t>
      </w:r>
      <w:r>
        <w:t xml:space="preserve">(up from $0.4308 a year ago). Watch for any raise.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~$14.3B total debt vs.</w:t>
      </w:r>
      <w:r>
        <w:t xml:space="preserve"> </w:t>
      </w:r>
      <m:oMath>
        <m:r>
          <m:t>674</m:t>
        </m:r>
        <m:r>
          <m:t>M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t</m:t>
        </m:r>
        <m:r>
          <m:t>Q</m:t>
        </m:r>
        <m:r>
          <m:t>1</m:t>
        </m:r>
        <m:r>
          <m:rPr>
            <m:sty m:val="p"/>
          </m:rPr>
          <m:t>(</m:t>
        </m:r>
        <m:r>
          <m:t>F</m:t>
        </m:r>
        <m:r>
          <m:t>i</m:t>
        </m:r>
        <m:r>
          <m:t>t</m:t>
        </m:r>
        <m:r>
          <m:t>c</m:t>
        </m:r>
        <m:r>
          <m:t>h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S</m:t>
        </m:r>
        <m:r>
          <m:t>W</m:t>
        </m:r>
        <m:r>
          <m:t>B</m:t>
        </m:r>
        <m:r>
          <m:t>B</m:t>
        </m:r>
        <m:r>
          <m:t>B</m:t>
        </m:r>
        <m:r>
          <m:rPr>
            <m:sty m:val="p"/>
          </m:rPr>
          <m:t>+</m:t>
        </m:r>
        <m:r>
          <m:rPr>
            <m:sty m:val="p"/>
          </m:rPr>
          <m:t>,</m:t>
        </m:r>
        <m:r>
          <m:t>s</m:t>
        </m:r>
        <m:r>
          <m:t>t</m:t>
        </m:r>
        <m:r>
          <m:t>a</m:t>
        </m:r>
        <m:r>
          <m:t>b</m:t>
        </m:r>
        <m:r>
          <m:t>l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W</m:t>
        </m:r>
        <m:r>
          <m:t>i</m:t>
        </m:r>
        <m:r>
          <m:t>t</m:t>
        </m:r>
        <m:r>
          <m:t>h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r</m:t>
        </m:r>
        <m:r>
          <m:t>a</m:t>
        </m:r>
        <m:r>
          <m:t>m</m:t>
        </m:r>
        <m:r>
          <m:t>p</m:t>
        </m:r>
        <m:r>
          <m:t>i</m:t>
        </m:r>
        <m:r>
          <m:t>n</m:t>
        </m:r>
        <m:r>
          <m:t>g</m:t>
        </m:r>
        <m:r>
          <m:rPr>
            <m:sty m:val="p"/>
          </m:rPr>
          <m:t>(</m:t>
        </m:r>
        <m:r>
          <m:t> </m:t>
        </m:r>
      </m:oMath>
      <w:r>
        <w:t xml:space="preserve">624M in Q1) and heavy H1 working-capital use,</w:t>
      </w:r>
      <w:r>
        <w:t xml:space="preserve"> </w:t>
      </w:r>
      <w:r>
        <w:rPr>
          <w:b/>
          <w:bCs/>
        </w:rPr>
        <w:t xml:space="preserve">free cash flow cadence and leverage</w:t>
      </w:r>
      <w:r>
        <w:t xml:space="preserve"> </w:t>
      </w:r>
      <w:r>
        <w:t xml:space="preserve">are worth checking — the plan leans on FCF to fund growth, deleveraging and returns.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LATAM:</w:t>
      </w:r>
      <w:r>
        <w:t xml:space="preserve"> </w:t>
      </w:r>
      <w:r>
        <w:t xml:space="preserve">consistently the highest-margin segment (~20%+); recent Ecuador box-plant acquisition adds paper integration. Momentum here is a quiet positive.</w:t>
      </w:r>
    </w:p>
    <w:p>
      <w:r>
        <w:pict>
          <v:rect style="width:0;height:1.5pt" o:hralign="center" o:hrstd="t" o:hr="t"/>
        </w:pict>
      </w:r>
    </w:p>
    <w:bookmarkEnd w:id="13"/>
    <w:bookmarkStart w:id="14" w:name="X57628814808a35a4369fd5359a6196ebc53c3e9"/>
    <w:p>
      <w:pPr>
        <w:pStyle w:val="Heading2"/>
      </w:pPr>
      <w:r>
        <w:t xml:space="preserve">5. Bottom line</w:t>
      </w:r>
    </w:p>
    <w:p>
      <w:pPr>
        <w:pStyle w:val="FirstParagraph"/>
      </w:pPr>
      <w:r>
        <w:t xml:space="preserve">Fundamentals have clearly turned SW's way — tightening containerboard markets, a fresh $80/ton price round, a demand recovery, self-help cost/closure actions, and easing volume comps all point to a stronger H2 and 2027.</w:t>
      </w:r>
      <w:r>
        <w:t xml:space="preserve"> </w:t>
      </w:r>
      <w:r>
        <w:rPr>
          <w:b/>
          <w:bCs/>
        </w:rPr>
        <w:t xml:space="preserve">The risk is expectations, not the story.</w:t>
      </w:r>
      <w:r>
        <w:t xml:space="preserve"> </w:t>
      </w:r>
      <w:r>
        <w:t xml:space="preserve">With the stock up ~16% in three days and ~28% YTD into the print, SW likely needs to (a) come in at the</w:t>
      </w:r>
      <w:r>
        <w:t xml:space="preserve"> </w:t>
      </w:r>
      <w:r>
        <w:rPr>
          <w:b/>
          <w:bCs/>
        </w:rPr>
        <w:t xml:space="preserve">top of the $1.1–1.2B range or beat</w:t>
      </w:r>
      <w:r>
        <w:t xml:space="preserve">, (b)</w:t>
      </w:r>
      <w:r>
        <w:t xml:space="preserve"> </w:t>
      </w:r>
      <w:r>
        <w:rPr>
          <w:b/>
          <w:bCs/>
        </w:rPr>
        <w:t xml:space="preserve">raise or bias-up</w:t>
      </w:r>
      <w:r>
        <w:t xml:space="preserve"> </w:t>
      </w:r>
      <w:r>
        <w:t xml:space="preserve">the full-year $5.0–5.3B guide, and (c)</w:t>
      </w:r>
      <w:r>
        <w:t xml:space="preserve"> </w:t>
      </w:r>
      <w:r>
        <w:rPr>
          <w:b/>
          <w:bCs/>
        </w:rPr>
        <w:t xml:space="preserve">explicitly endorse the new pricing</w:t>
      </w:r>
      <w:r>
        <w:t xml:space="preserve"> </w:t>
      </w:r>
      <w:r>
        <w:t xml:space="preserve">and confirm the July order book held, to keep the momentum going. A mere in-line quarter with a reaffirmed year is the setup for a "sell-the-news" pullback. The most important line on the call won't be Q2 EBITDA — it'll be</w:t>
      </w:r>
      <w:r>
        <w:t xml:space="preserve"> </w:t>
      </w:r>
      <w:r>
        <w:rPr>
          <w:b/>
          <w:bCs/>
        </w:rPr>
        <w:t xml:space="preserve">how much price and volume management now embeds into the second half</w:t>
      </w:r>
      <w:r>
        <w:t xml:space="preserve">.</w:t>
      </w:r>
    </w:p>
    <w:p>
      <w:pPr>
        <w:pStyle w:val="BodyText"/>
      </w:pPr>
      <w:r>
        <w:rPr>
          <w:i/>
          <w:iCs/>
        </w:rPr>
        <w:t xml:space="preserve">(All figures sourced from SW's Q1 2026 and Q2 2025 earnings releases and the Q1 2026 earnings call; peer/pricing and stock data from market news through 7/28/2026.)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2026-07-29T00:05:22Z</dcterms:created>
  <dcterms:modified xsi:type="dcterms:W3CDTF">2026-07-29T00:05:22Z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