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SW = Smurfit WestRock. Let me gather more context: Q1 earnings call transcript, Q1 10-Q MD&amp;A, recent news, and analyst estimates for Q2.# Smurfit Westrock (SW) — Q2 2026 Earnings Preview</w:t>
      </w:r>
      <w:r>
        <w:t xml:space="preserve"> </w:t>
      </w:r>
      <w:r>
        <w:rPr>
          <w:b/>
          <w:bCs/>
        </w:rPr>
        <w:t xml:space="preserve">Reports: Wednesday, July 29, 2026, 6:30 a.m. ET | Call: 7:30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SW shares have rallied sharply into earnings, jumping from the low $40s to over $50 in the final week of July — a ~17% move in roughly four trading days. The catalyst wasn't company-specific news but a sector-wide re-rating: Truist analyst Michael Roxland wrote that Packaging Corporation of America's plan to increase containerboard prices by $140 a ton in September will be positive not just for PCA, but also for rivals International Paper and Smurfit Westrock, who he said are likely to follow suit, sending all three stocks sharply higher. Days later, International Paper rose on a reported $80/ton containerboard price increase effective September 1, plus a J.P. Morgan upgrade to Overweight with a price target raised to $61 from $51. This is the key dynamic investors will be looking to validate (or see management confirm/extend) on tomorrow's call: a tightening North American containerboard market with a fresh, stacked round of price increases.</w:t>
      </w:r>
    </w:p>
    <w:p>
      <w:pPr>
        <w:pStyle w:val="BodyText"/>
      </w:pPr>
      <w:r>
        <w:t xml:space="preserve">Consensus for Q2 sits at roughly</w:t>
      </w:r>
      <w:r>
        <w:t xml:space="preserve"> </w:t>
      </w:r>
      <m:oMath>
        <m:r>
          <m:t>0.42</m:t>
        </m:r>
        <m:r>
          <m:t>E</m:t>
        </m:r>
        <m:r>
          <m:t>P</m:t>
        </m:r>
        <m:r>
          <m:t>S</m:t>
        </m:r>
        <m:r>
          <m:rPr>
            <m:sty m:val="p"/>
          </m:rPr>
          <m:t>*</m:t>
        </m:r>
        <m:r>
          <m:rPr>
            <m:sty m:val="p"/>
          </m:rPr>
          <m:t>*</m:t>
        </m:r>
        <m:r>
          <m:rPr>
            <m:sty m:val="p"/>
          </m:rPr>
          <m:t>(</m:t>
        </m:r>
        <m:r>
          <m:t>d</m:t>
        </m:r>
        <m:r>
          <m:t>o</m:t>
        </m:r>
        <m:r>
          <m:t>w</m:t>
        </m:r>
        <m:r>
          <m:t>n</m:t>
        </m:r>
        <m:r>
          <m:t> </m:t>
        </m:r>
        <m:r>
          <m:t>7</m:t>
        </m:r>
      </m:oMath>
      <w:r>
        <w:rPr>
          <w:b/>
          <w:bCs/>
        </w:rPr>
        <w:t xml:space="preserve">7.9 billion</w:t>
      </w:r>
      <w:r>
        <w:t xml:space="preserve">. Notably, SW has missed Wall Street's EPS estimate in each of the last four quarters, including Q1 2026 (</w:t>
      </w:r>
      <m:oMath>
        <m:r>
          <m:t>0.33</m:t>
        </m:r>
        <m:r>
          <m:t>a</m:t>
        </m:r>
        <m:r>
          <m:t>c</m:t>
        </m:r>
        <m:r>
          <m:t>t</m:t>
        </m:r>
        <m:r>
          <m:t>u</m:t>
        </m:r>
        <m:r>
          <m:t>a</m:t>
        </m:r>
        <m:r>
          <m:t>l</m:t>
        </m:r>
        <m:r>
          <m:t>v</m:t>
        </m:r>
        <m:r>
          <m:t>s</m:t>
        </m:r>
        <m:r>
          <m:rPr>
            <m:sty m:val="p"/>
          </m:rPr>
          <m:t>.</m:t>
        </m:r>
        <m:r>
          <m:t> </m:t>
        </m:r>
      </m:oMath>
      <w:r>
        <w:t xml:space="preserve">0.36-0.41 expected), so the setup carries a real "prove it" element even as the stock has re-rated on sector tailwinds. Sell-side sentiment is broadly constructive: recent price-target/rating actions include Citigroup (</w:t>
      </w:r>
      <m:oMath>
        <m:r>
          <m:t>56</m:t>
        </m:r>
        <m:r>
          <m:rPr>
            <m:sty m:val="p"/>
          </m:rPr>
          <m:t>,</m:t>
        </m:r>
        <m:r>
          <m:t>B</m:t>
        </m:r>
        <m:r>
          <m:t>u</m:t>
        </m:r>
        <m:r>
          <m:t>y</m:t>
        </m:r>
        <m:r>
          <m:rPr>
            <m:sty m:val="p"/>
          </m:rPr>
          <m:t>)</m:t>
        </m:r>
        <m:r>
          <m:rPr>
            <m:sty m:val="p"/>
          </m:rPr>
          <m:t>,</m:t>
        </m:r>
        <m:r>
          <m:t>U</m:t>
        </m:r>
        <m:r>
          <m:t>B</m:t>
        </m:r>
        <m:r>
          <m:t>S</m:t>
        </m:r>
        <m:r>
          <m:rPr>
            <m:sty m:val="p"/>
          </m:rPr>
          <m:t>(</m:t>
        </m:r>
      </m:oMath>
      <w:r>
        <w:t xml:space="preserve">56, Buy), Deutsche Bank (initiated at</w:t>
      </w:r>
      <w:r>
        <w:t xml:space="preserve"> </w:t>
      </w:r>
      <m:oMath>
        <m:r>
          <m:t>57</m:t>
        </m:r>
        <m:r>
          <m:rPr>
            <m:sty m:val="p"/>
          </m:rPr>
          <m:t>,</m:t>
        </m:r>
        <m:r>
          <m:t>B</m:t>
        </m:r>
        <m:r>
          <m:t>u</m:t>
        </m:r>
        <m:r>
          <m:t>y</m:t>
        </m:r>
        <m:r>
          <m:rPr>
            <m:sty m:val="p"/>
          </m:rPr>
          <m:t>)</m:t>
        </m:r>
        <m:r>
          <m:t>a</m:t>
        </m:r>
        <m:r>
          <m:t>n</m:t>
        </m:r>
        <m:r>
          <m:t>d</m:t>
        </m:r>
        <m:r>
          <m:t>B</m:t>
        </m:r>
        <m:r>
          <m:t>a</m:t>
        </m:r>
        <m:r>
          <m:t>r</m:t>
        </m:r>
        <m:r>
          <m:t>c</m:t>
        </m:r>
        <m:r>
          <m:t>l</m:t>
        </m:r>
        <m:r>
          <m:t>a</m:t>
        </m:r>
        <m:r>
          <m:t>y</m:t>
        </m:r>
        <m:r>
          <m:t>s</m:t>
        </m:r>
        <m:r>
          <m:rPr>
            <m:sty m:val="p"/>
          </m:rPr>
          <m:t>(</m:t>
        </m:r>
      </m:oMath>
      <w:r>
        <w:t xml:space="preserve">52, Overweight), with roughly 11 Buy vs. 2 Hold ratings across the covering analysts.</w:t>
      </w:r>
    </w:p>
    <w:p>
      <w:r>
        <w:pict>
          <v:rect style="width:0;height:1.5pt" o:hralign="center" o:hrstd="t" o:hr="t"/>
        </w:pict>
      </w:r>
    </w:p>
    <w:bookmarkEnd w:id="9"/>
    <w:bookmarkStart w:id="10" w:name="Xfbf10e944971553ce58e663209531d059df0bb4"/>
    <w:p>
      <w:pPr>
        <w:pStyle w:val="Heading2"/>
      </w:pPr>
      <w:r>
        <w:t xml:space="preserve">What Happened Last Quarter (the Bar Being Set)</w:t>
      </w:r>
    </w:p>
    <w:p>
      <w:pPr>
        <w:pStyle w:val="FirstParagraph"/>
      </w:pPr>
      <w:r>
        <w:t xml:space="preserve">Q1 2026 was a "solid but messy" quarter. Management delivered adjusted EBITDA of $1,076 million and an adjusted EBITDA margin of 14%, but results were impacted by weather events that started in January and continued into February, costing approximately $65 million across the group. North America was additionally hit by weather issues of approximately $55 million, which primarily occurred in February, and downtime costing $74 million, of which approximately half was unplanned, against a backdrop of generally tepid demand as consumer confidence remained muted and Mexican logistics disruptions.</w:t>
      </w:r>
    </w:p>
    <w:p>
      <w:pPr>
        <w:pStyle w:val="BodyText"/>
      </w:pPr>
      <w:r>
        <w:t xml:space="preserve">Critically, management flagged a sharp inflection starting in March/April: we have seen a very strong uptake across really all paper grades... basically, all paper grades are in effectively sold out position right now, a dynamic CEO Tony Smurfit called unusually fast-moving after "practically" his whole career in the business. On the back of that, the company guided Q2 adjusted EBITDA to</w:t>
      </w:r>
      <w:r>
        <w:t xml:space="preserve"> </w:t>
      </w:r>
      <m:oMath>
        <m:r>
          <m:t>1.1</m:t>
        </m:r>
        <m:r>
          <m:rPr>
            <m:sty m:val="p"/>
          </m:rPr>
          <m:t>–</m:t>
        </m:r>
      </m:oMath>
      <w:r>
        <w:rPr>
          <w:b/>
          <w:bCs/>
        </w:rPr>
        <w:t xml:space="preserve">1.2 billion</w:t>
      </w:r>
      <w:r>
        <w:t xml:space="preserve"> </w:t>
      </w:r>
      <w:r>
        <w:t xml:space="preserve">and reaffirmed full-year 2026 adjusted EBITDA of</w:t>
      </w:r>
      <w:r>
        <w:t xml:space="preserve"> </w:t>
      </w:r>
      <m:oMath>
        <m:r>
          <m:t>5.0</m:t>
        </m:r>
        <m:r>
          <m:rPr>
            <m:sty m:val="p"/>
          </m:rPr>
          <m:t>–</m:t>
        </m:r>
      </m:oMath>
      <w:r>
        <w:rPr>
          <w:b/>
          <w:bCs/>
        </w:rPr>
        <w:t xml:space="preserve">5.3 billion</w:t>
      </w:r>
      <w:r>
        <w:t xml:space="preserve">.</w:t>
      </w:r>
    </w:p>
    <w:p>
      <w:r>
        <w:pict>
          <v:rect style="width:0;height:1.5pt" o:hralign="center" o:hrstd="t" o:hr="t"/>
        </w:pict>
      </w:r>
    </w:p>
    <w:bookmarkEnd w:id="10"/>
    <w:bookmarkStart w:id="11" w:name="key-things-to-watch-on-the-call"/>
    <w:p>
      <w:pPr>
        <w:pStyle w:val="Heading2"/>
      </w:pPr>
      <w:r>
        <w:t xml:space="preserve">Key Things to Watch on the Call</w:t>
      </w:r>
    </w:p>
    <w:p>
      <w:pPr>
        <w:pStyle w:val="FirstParagraph"/>
      </w:pPr>
      <w:r>
        <w:rPr>
          <w:b/>
          <w:bCs/>
        </w:rPr>
        <w:t xml:space="preserve">1. Did the sold-out market translate into price realization?</w:t>
      </w:r>
      <w:r>
        <w:t xml:space="preserve"> </w:t>
      </w:r>
      <w:r>
        <w:t xml:space="preserve">On the Q1 call, management laid out a price cadence: a first ~$50/ton North American increase (net $70 after the earlier $20 rollback) should fully be implemented by July 1, with a second</w:t>
      </w:r>
      <w:r>
        <w:t xml:space="preserve"> </w:t>
      </w:r>
      <m:oMath>
        <m:r>
          <m:t>50</m:t>
        </m:r>
        <m:r>
          <m:rPr>
            <m:sty m:val="p"/>
          </m:rPr>
          <m:t>/</m:t>
        </m:r>
        <m:r>
          <m:t>t</m:t>
        </m:r>
        <m:r>
          <m:t>o</m:t>
        </m:r>
        <m:r>
          <m:t>n</m:t>
        </m:r>
        <m:r>
          <m:t>i</m:t>
        </m:r>
        <m:r>
          <m:t>n</m:t>
        </m:r>
        <m:r>
          <m:t>c</m:t>
        </m:r>
        <m:r>
          <m:t>r</m:t>
        </m:r>
        <m:r>
          <m:t>e</m:t>
        </m:r>
        <m:r>
          <m:t>a</m:t>
        </m:r>
        <m:r>
          <m:t>s</m:t>
        </m:r>
        <m:r>
          <m:t>e</m:t>
        </m:r>
        <m:r>
          <m:t>f</m:t>
        </m:r>
        <m:r>
          <m:t>u</m:t>
        </m:r>
        <m:r>
          <m:t>l</m:t>
        </m:r>
        <m:r>
          <m:t>l</m:t>
        </m:r>
        <m:r>
          <m:t>y</m:t>
        </m:r>
        <m:r>
          <m:t>i</m:t>
        </m:r>
        <m:r>
          <m:t>m</m:t>
        </m:r>
        <m:r>
          <m:t>p</m:t>
        </m:r>
        <m:r>
          <m:t>l</m:t>
        </m:r>
        <m:r>
          <m:t>e</m:t>
        </m:r>
        <m:r>
          <m:t>m</m:t>
        </m:r>
        <m:r>
          <m:t>e</m:t>
        </m:r>
        <m:r>
          <m:t>n</m:t>
        </m:r>
        <m:r>
          <m:t>t</m:t>
        </m:r>
        <m:r>
          <m:t>e</m:t>
        </m:r>
        <m:r>
          <m:t>d</m:t>
        </m:r>
        <m:r>
          <m:t>b</m:t>
        </m:r>
        <m:r>
          <m:t>y</m:t>
        </m:r>
        <m:r>
          <m:t>S</m:t>
        </m:r>
        <m:r>
          <m:t>e</m:t>
        </m:r>
        <m:r>
          <m:t>p</m:t>
        </m:r>
        <m:r>
          <m:t>t</m:t>
        </m:r>
        <m:r>
          <m:t>e</m:t>
        </m:r>
        <m:r>
          <m:t>m</m:t>
        </m:r>
        <m:r>
          <m:t>b</m:t>
        </m:r>
        <m:r>
          <m:t>e</m:t>
        </m:r>
        <m:r>
          <m:t>r</m:t>
        </m:r>
        <m:r>
          <m:rPr>
            <m:sty m:val="p"/>
          </m:rPr>
          <m:t>,</m:t>
        </m:r>
        <m:r>
          <m:t>i</m:t>
        </m:r>
        <m:r>
          <m:t>f</m:t>
        </m:r>
        <m:r>
          <m:t>i</m:t>
        </m:r>
        <m:r>
          <m:t>t</m:t>
        </m:r>
        <m:r>
          <m:t>g</m:t>
        </m:r>
        <m:r>
          <m:t>o</m:t>
        </m:r>
        <m:r>
          <m:t>e</m:t>
        </m:r>
        <m:r>
          <m:t>s</m:t>
        </m:r>
        <m:r>
          <m:t>t</m:t>
        </m:r>
        <m:r>
          <m:t>h</m:t>
        </m:r>
        <m:r>
          <m:t>r</m:t>
        </m:r>
        <m:r>
          <m:t>o</m:t>
        </m:r>
        <m:r>
          <m:t>u</m:t>
        </m:r>
        <m:r>
          <m:t>g</m:t>
        </m:r>
        <m:r>
          <m:t>h</m:t>
        </m:r>
        <m:r>
          <m:rPr>
            <m:sty m:val="p"/>
          </m:rPr>
          <m:t>.</m:t>
        </m:r>
        <m:r>
          <m:t>G</m:t>
        </m:r>
        <m:r>
          <m:t>i</m:t>
        </m:r>
        <m:r>
          <m:t>v</m:t>
        </m:r>
        <m:r>
          <m:t>e</m:t>
        </m:r>
        <m:r>
          <m:t>n</m:t>
        </m:r>
        <m:r>
          <m:t>P</m:t>
        </m:r>
        <m:r>
          <m:t>K</m:t>
        </m:r>
        <m:sSup>
          <m:e>
            <m:r>
              <m:t>G</m:t>
            </m:r>
          </m:e>
          <m:sup>
            <m:r>
              <m:rPr>
                <m:sty m:val="p"/>
              </m:rPr>
              <m:t>′</m:t>
            </m:r>
          </m:sup>
        </m:sSup>
        <m:r>
          <m:t>s</m:t>
        </m:r>
        <m:r>
          <m:t>a</m:t>
        </m:r>
        <m:r>
          <m:t>n</m:t>
        </m:r>
        <m:r>
          <m:t>d</m:t>
        </m:r>
        <m:r>
          <m:t>I</m:t>
        </m:r>
        <m:sSup>
          <m:e>
            <m:r>
              <m:t>P</m:t>
            </m:r>
          </m:e>
          <m:sup>
            <m:r>
              <m:rPr>
                <m:sty m:val="p"/>
              </m:rPr>
              <m:t>′</m:t>
            </m:r>
          </m:sup>
        </m:sSup>
        <m:r>
          <m:t>s</m:t>
        </m:r>
        <m:r>
          <m:t>s</m:t>
        </m:r>
        <m:r>
          <m:t>u</m:t>
        </m:r>
        <m:r>
          <m:t>b</m:t>
        </m:r>
        <m:r>
          <m:t>s</m:t>
        </m:r>
        <m:r>
          <m:t>e</m:t>
        </m:r>
        <m:r>
          <m:t>q</m:t>
        </m:r>
        <m:r>
          <m:t>u</m:t>
        </m:r>
        <m:r>
          <m:t>e</m:t>
        </m:r>
        <m:r>
          <m:t>n</m:t>
        </m:r>
        <m:r>
          <m:t>t</m:t>
        </m:r>
        <m:r>
          <m:t>m</m:t>
        </m:r>
        <m:r>
          <m:t>o</m:t>
        </m:r>
        <m:r>
          <m:t>v</m:t>
        </m:r>
        <m:r>
          <m:t>e</m:t>
        </m:r>
        <m:r>
          <m:t>s</m:t>
        </m:r>
        <m:r>
          <m:rPr>
            <m:sty m:val="p"/>
          </m:rPr>
          <m:t>(</m:t>
        </m:r>
      </m:oMath>
      <w:r>
        <w:t xml:space="preserve">140/ton and $80/ton respectively, both for September), investors will want confirmation that SW is following with comparable increases, and color on how much of the announced pricing has already been realized in Q2 numbers versus deferred into Q3/Q4. Read-through from PKG's own Q2 print (reported July 23) was bullish: demand was very strong throughout the quarter across our entire customer base... shipments were up over 24% in total and management repeatedly described the market as "tight," including delaying export sales to rebuild domestic inventory.</w:t>
      </w:r>
    </w:p>
    <w:p>
      <w:pPr>
        <w:pStyle w:val="BodyText"/>
      </w:pPr>
      <w:r>
        <w:rPr>
          <w:b/>
          <w:bCs/>
        </w:rPr>
        <w:t xml:space="preserve">2. The cost bridge — energy is the swing factor.</w:t>
      </w:r>
      <w:r>
        <w:t xml:space="preserve"> </w:t>
      </w:r>
      <w:r>
        <w:t xml:space="preserve">CFO Ken Bowles flagged that the group's full-year energy cost headwind had roughly tripled versus the February outlook: back in February, we would have guided energy to be about $80 million higher year-on-year for the group... probably more like between $270 million and</w:t>
      </w:r>
      <w:r>
        <w:t xml:space="preserve"> </w:t>
      </w:r>
      <m:oMath>
        <m:r>
          <m:t>290</m:t>
        </m:r>
        <m:r>
          <m:t>m</m:t>
        </m:r>
        <m:r>
          <m:t>i</m:t>
        </m:r>
        <m:r>
          <m:t>l</m:t>
        </m:r>
        <m:r>
          <m:t>l</m:t>
        </m:r>
        <m:r>
          <m:t>i</m:t>
        </m:r>
        <m:r>
          <m:t>o</m:t>
        </m:r>
        <m:r>
          <m:t>n</m:t>
        </m:r>
        <m:r>
          <m:t>i</m:t>
        </m:r>
        <m:r>
          <m:t>n</m:t>
        </m:r>
        <m:r>
          <m:t>t</m:t>
        </m:r>
        <m:r>
          <m:t>e</m:t>
        </m:r>
        <m:r>
          <m:t>r</m:t>
        </m:r>
        <m:r>
          <m:t>m</m:t>
        </m:r>
        <m:r>
          <m:t>s</m:t>
        </m:r>
        <m:r>
          <m:t>o</m:t>
        </m:r>
        <m:r>
          <m:t>f</m:t>
        </m:r>
        <m:r>
          <m:t>t</m:t>
        </m:r>
        <m:r>
          <m:t>o</m:t>
        </m:r>
        <m:r>
          <m:t>t</m:t>
        </m:r>
        <m:r>
          <m:t>a</m:t>
        </m:r>
        <m:r>
          <m:t>l</m:t>
        </m:r>
        <m:r>
          <m:t>i</m:t>
        </m:r>
        <m:r>
          <m:t>m</m:t>
        </m:r>
        <m:r>
          <m:t>p</m:t>
        </m:r>
        <m:r>
          <m:t>a</m:t>
        </m:r>
        <m:r>
          <m:t>c</m:t>
        </m:r>
        <m:r>
          <m:t>t</m:t>
        </m:r>
        <m:r>
          <m:t>f</m:t>
        </m:r>
        <m:r>
          <m:t>o</m:t>
        </m:r>
        <m:r>
          <m:t>r</m:t>
        </m:r>
        <m:r>
          <m:t>t</m:t>
        </m:r>
        <m:r>
          <m:t>h</m:t>
        </m:r>
        <m:r>
          <m:t>e</m:t>
        </m:r>
        <m:r>
          <m:t>y</m:t>
        </m:r>
        <m:r>
          <m:t>e</m:t>
        </m:r>
        <m:r>
          <m:t>a</m:t>
        </m:r>
        <m:r>
          <m:t>r</m:t>
        </m:r>
        <m:r>
          <m:rPr>
            <m:sty m:val="p"/>
          </m:rPr>
          <m:t>.</m:t>
        </m:r>
        <m:r>
          <m:t>F</m:t>
        </m:r>
        <m:r>
          <m:t>r</m:t>
        </m:r>
        <m:r>
          <m:t>e</m:t>
        </m:r>
        <m:r>
          <m:t>i</m:t>
        </m:r>
        <m:r>
          <m:t>g</m:t>
        </m:r>
        <m:r>
          <m:t>h</m:t>
        </m:r>
        <m:r>
          <m:t>t</m:t>
        </m:r>
        <m:r>
          <m:t>w</m:t>
        </m:r>
        <m:r>
          <m:t>a</m:t>
        </m:r>
        <m:r>
          <m:t>s</m:t>
        </m:r>
        <m:r>
          <m:t>a</m:t>
        </m:r>
        <m:r>
          <m:t>l</m:t>
        </m:r>
        <m:r>
          <m:t>s</m:t>
        </m:r>
        <m:r>
          <m:t>o</m:t>
        </m:r>
        <m:r>
          <m:t>c</m:t>
        </m:r>
        <m:r>
          <m:t>a</m:t>
        </m:r>
        <m:r>
          <m:t>l</m:t>
        </m:r>
        <m:r>
          <m:t>l</m:t>
        </m:r>
        <m:r>
          <m:t>e</m:t>
        </m:r>
        <m:r>
          <m:t>d</m:t>
        </m:r>
        <m:r>
          <m:t>o</m:t>
        </m:r>
        <m:r>
          <m:t>u</m:t>
        </m:r>
        <m:r>
          <m:t>t</m:t>
        </m:r>
        <m:r>
          <m:t>a</m:t>
        </m:r>
        <m:r>
          <m:t>s</m:t>
        </m:r>
        <m:r>
          <m:t>a</m:t>
        </m:r>
        <m:r>
          <m:t> </m:t>
        </m:r>
      </m:oMath>
      <w:r>
        <w:t xml:space="preserve">50 million full-year headwind, while labor inflation was said to be moderating (a ~$50 million headwind vs. an earlier $100 million estimate) due to cost-takeout and negotiated agreements. Watch for an updated full-year cost bridge given commodity moves (freight, OCC/recycled fiber, gas) since Q1.</w:t>
      </w:r>
    </w:p>
    <w:p>
      <w:pPr>
        <w:pStyle w:val="BodyText"/>
      </w:pPr>
      <w:r>
        <w:rPr>
          <w:b/>
          <w:bCs/>
        </w:rPr>
        <w:t xml:space="preserve">3. North America turnaround trajectory.</w:t>
      </w:r>
      <w:r>
        <w:t xml:space="preserve"> </w:t>
      </w:r>
      <w:r>
        <w:t xml:space="preserve">Management highlighted momentum in new customer acquisition — April's new customer volume is actually 30% up on March's number — while volumes were still down y/y (down ~4% in April vs. ~7-8% declines in Q4/Q1). The number of loss-making North American box plants has been reduced from 60-70 at deal close to about 29, with a longer-term goal of high single digits. Investors will want an update on volume growth (management suggested 2H would start "lapping" easier comps and show growth) and progress toward the targeted 8-12% corrugated system margins.</w:t>
      </w:r>
    </w:p>
    <w:p>
      <w:pPr>
        <w:pStyle w:val="BodyText"/>
      </w:pPr>
      <w:r>
        <w:rPr>
          <w:b/>
          <w:bCs/>
        </w:rPr>
        <w:t xml:space="preserve">4. Europe/EMEA &amp; APAC price-cost and asset rationalization.</w:t>
      </w:r>
      <w:r>
        <w:t xml:space="preserve"> </w:t>
      </w:r>
      <w:r>
        <w:t xml:space="preserve">Europe delivered adjusted EBITDA of $421 million and an adjusted EBITDA margin of 15.2% in Q1, aided by hedging (Q2 hedged ~50%, Q3/Q4 roughly one-third each). Management announced a EUR 100/ton recycled paper price increase plus kraftliner/specialty grade hikes, alongside further network rationalization (four converting plants and a UK paper mill closure). Look for confirmation that European converting price increases (with typical 3-6 month contract lags) are now flowing through, and how the announced UK mill closure/supply reorganization is tracking.</w:t>
      </w:r>
    </w:p>
    <w:p>
      <w:pPr>
        <w:pStyle w:val="BodyText"/>
      </w:pPr>
      <w:r>
        <w:rPr>
          <w:b/>
          <w:bCs/>
        </w:rPr>
        <w:t xml:space="preserve">5. LatAm — steady compounder.</w:t>
      </w:r>
      <w:r>
        <w:t xml:space="preserve"> </w:t>
      </w:r>
      <w:r>
        <w:t xml:space="preserve">LatAm remains the highest-margin segment (Q1 adjusted EBITDA margin over 20%), with continued bolt-on M&amp;A (an Ecuador box plant acquisition closed in Q1) and structurally tighter regional containerboard supply as export flows from the U.S. and Europe have pulled back.</w:t>
      </w:r>
    </w:p>
    <w:p>
      <w:pPr>
        <w:pStyle w:val="BodyText"/>
      </w:pPr>
      <w:r>
        <w:rPr>
          <w:b/>
          <w:bCs/>
        </w:rPr>
        <w:t xml:space="preserve">6. Balance sheet, capital returns and corporate structure.</w:t>
      </w:r>
      <w:r>
        <w:t xml:space="preserve"> </w:t>
      </w:r>
      <w:r>
        <w:t xml:space="preserve">SW carried $14.3 billion of total debt and $5.3 billion of available liquidity at Q1-end, with capex running at $624 million for the quarter — elevated versus depreciation, reflecting the ongoing capital plan behind the medium-term targets. The company also completed its previously flagged</w:t>
      </w:r>
      <w:r>
        <w:t xml:space="preserve"> </w:t>
      </w:r>
      <w:r>
        <w:rPr>
          <w:b/>
          <w:bCs/>
        </w:rPr>
        <w:t xml:space="preserve">LSE delisting</w:t>
      </w:r>
      <w:r>
        <w:t xml:space="preserve"> </w:t>
      </w:r>
      <w:r>
        <w:t xml:space="preserve">on June 22, 2026, consolidating trading solely on the NYSE — a modest positive for liquidity/index simplification that removes a lingering overhang from the Q1 call.</w:t>
      </w:r>
    </w:p>
    <w:p>
      <w:pPr>
        <w:pStyle w:val="BodyText"/>
      </w:pPr>
      <w:r>
        <w:rPr>
          <w:b/>
          <w:bCs/>
        </w:rPr>
        <w:t xml:space="preserve">7. Medium-term plan progress.</w:t>
      </w:r>
      <w:r>
        <w:t xml:space="preserve"> </w:t>
      </w:r>
      <w:r>
        <w:t xml:space="preserve">Management's February 2026 plan targets</w:t>
      </w:r>
      <w:r>
        <w:t xml:space="preserve"> </w:t>
      </w:r>
      <w:r>
        <w:rPr>
          <w:b/>
          <w:bCs/>
        </w:rPr>
        <w:t xml:space="preserve">$7 billion of adjusted EBITDA and a 19% margin by 2030</w:t>
      </w:r>
      <w:r>
        <w:t xml:space="preserve"> </w:t>
      </w:r>
      <w:r>
        <w:t xml:space="preserve">(from a 7% EBITDA CAGR and &gt;300bps of margin expansion), plus $14 billion of cumulative discretionary free cash flow over the plan life. Any incremental detail on phasing — particularly how much of the containerboard pricing tailwind is being layered into the multi-year bridge — will be a focus for the buy side.</w:t>
      </w:r>
    </w:p>
    <w:p>
      <w:r>
        <w:pict>
          <v:rect style="width:0;height:1.5pt" o:hralign="center" o:hrstd="t" o:hr="t"/>
        </w:pict>
      </w:r>
    </w:p>
    <w:bookmarkEnd w:id="11"/>
    <w:bookmarkStart w:id="12" w:name="bottom-line-for-investors"/>
    <w:p>
      <w:pPr>
        <w:pStyle w:val="Heading2"/>
      </w:pPr>
      <w:r>
        <w:t xml:space="preserve">Bottom Line for Investors</w:t>
      </w:r>
    </w:p>
    <w:p>
      <w:pPr>
        <w:pStyle w:val="FirstParagraph"/>
      </w:pPr>
      <w:r>
        <w:t xml:space="preserve">The setup is a classic "sold-out market meets execution risk" story. Industry fundamentals have inflected favorably and quickly — tight containerboard supply, a wave of stacked price increases from PKG (</w:t>
      </w:r>
      <m:oMath>
        <m:r>
          <m:t>140</m:t>
        </m:r>
        <m:r>
          <m:rPr>
            <m:sty m:val="p"/>
          </m:rPr>
          <m:t>/</m:t>
        </m:r>
        <m:r>
          <m:t>t</m:t>
        </m:r>
        <m:r>
          <m:t>o</m:t>
        </m:r>
        <m:r>
          <m:t>n</m:t>
        </m:r>
        <m:r>
          <m:rPr>
            <m:sty m:val="p"/>
          </m:rPr>
          <m:t>)</m:t>
        </m:r>
        <m:r>
          <m:t>a</m:t>
        </m:r>
        <m:r>
          <m:t>n</m:t>
        </m:r>
        <m:r>
          <m:t>d</m:t>
        </m:r>
        <m:r>
          <m:t>I</m:t>
        </m:r>
        <m:r>
          <m:t>P</m:t>
        </m:r>
        <m:r>
          <m:rPr>
            <m:sty m:val="p"/>
          </m:rPr>
          <m:t>(</m:t>
        </m:r>
      </m:oMath>
      <w:r>
        <w:t xml:space="preserve">80/ton), and management's own commentary of being sold out "across really all paper grades" — which explains the stock's sharp rally into the print. But SW's own execution has lagged peers (four straight EPS misses, weather- and downtime-driven Q1 shortfall, North America still working through a multi-year box-plant turnaround), and energy/freight cost inflation has run well ahead of February's plan. Tomorrow's print and, especially, management's tone on price realization, the North American volume inflection, and the Q3/Q4 cost bridge will determine whether the recent multi-day re-rating is validated or tested. Given the guided</w:t>
      </w:r>
      <w:r>
        <w:t xml:space="preserve"> </w:t>
      </w:r>
      <m:oMath>
        <m:r>
          <m:t>1.1</m:t>
        </m:r>
        <m:r>
          <m:rPr>
            <m:sty m:val="p"/>
          </m:rPr>
          <m:t>–</m:t>
        </m:r>
      </m:oMath>
      <w:r>
        <w:t xml:space="preserve">1.2 billion Q2 EBITDA range and reaffirmed</w:t>
      </w:r>
      <w:r>
        <w:t xml:space="preserve"> </w:t>
      </w:r>
      <m:oMath>
        <m:r>
          <m:t>5.0</m:t>
        </m:r>
        <m:r>
          <m:rPr>
            <m:sty m:val="p"/>
          </m:rPr>
          <m:t>–</m:t>
        </m:r>
      </m:oMath>
      <w:r>
        <w:t xml:space="preserve">5.3 billion full-year target, the key numbers to track are: adjusted EBITDA relative to that range, North American segment EBITDA margin (13.3% in Q1), consolidated net sales, and any change to full-year guidance in light of the sector-wide price increases announced after the Q1 call.</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2026-07-29T00:09:59Z</dcterms:created>
  <dcterms:modified xsi:type="dcterms:W3CDTF">2026-07-29T00:09:59Z</dcterms:modified>
</cp:coreProperties>
</file>

<file path=docProps/custom.xml><?xml version="1.0" encoding="utf-8"?>
<Properties xmlns="http://schemas.openxmlformats.org/officeDocument/2006/custom-properties" xmlns:vt="http://schemas.openxmlformats.org/officeDocument/2006/docPropsVTypes"/>
</file>