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92230beef58b1cd44ed8c42762c6ce9af09c55"/>
    <w:p>
      <w:pPr>
        <w:pStyle w:val="Heading1"/>
      </w:pPr>
      <w:r>
        <w:t xml:space="preserve">Smurfit Westrock (NYSE: SW) — 2026Q2 Earnings Preview</w:t>
      </w:r>
    </w:p>
    <w:p>
      <w:pPr>
        <w:pStyle w:val="FirstParagraph"/>
      </w:pPr>
      <w:r>
        <w:rPr>
          <w:b/>
          <w:bCs/>
        </w:rPr>
        <w:t xml:space="preserve">Report date:</w:t>
      </w:r>
      <w:r>
        <w:t xml:space="preserve"> </w:t>
      </w:r>
      <w:r>
        <w:t xml:space="preserve">July 29, 2026</w:t>
      </w:r>
      <w:r>
        <w:br/>
      </w:r>
      <w:r>
        <w:rPr>
          <w:b/>
          <w:bCs/>
        </w:rPr>
        <w:t xml:space="preserve">Last close:</w:t>
      </w:r>
      <w:r>
        <w:t xml:space="preserve"> </w:t>
      </w:r>
      <w:r>
        <w:t xml:space="preserve">$50.82 on July 28</w:t>
      </w:r>
      <w:r>
        <w:br/>
      </w:r>
      <w:r>
        <w:rPr>
          <w:b/>
          <w:bCs/>
        </w:rPr>
        <w:t xml:space="preserve">Central question:</w:t>
      </w:r>
      <w:r>
        <w:t xml:space="preserve"> </w:t>
      </w:r>
      <w:r>
        <w:t xml:space="preserve">Can improving demand and containerboard pricing outweigh rising energy, freight and recycled-fiber costs—and support the substantial second-half earnings ramp embedded in guidance?</w:t>
      </w:r>
    </w:p>
    <w:bookmarkStart w:id="9" w:name="investment-view-going-into-the-print"/>
    <w:p>
      <w:pPr>
        <w:pStyle w:val="Heading2"/>
      </w:pPr>
      <w:r>
        <w:t xml:space="preserve">Investment view going into the print</w:t>
      </w:r>
    </w:p>
    <w:p>
      <w:pPr>
        <w:pStyle w:val="FirstParagraph"/>
      </w:pPr>
      <w:r>
        <w:t xml:space="preserve">The setup has improved considerably since Smurfit Westrock reported first-quarter results on April 30. North American paper markets tightened, announced price increases began taking effect, industry capacity remained disciplined and Packaging Corporation of America recently reported strong corrugated demand.</w:t>
      </w:r>
    </w:p>
    <w:p>
      <w:pPr>
        <w:pStyle w:val="BodyText"/>
      </w:pPr>
      <w:r>
        <w:t xml:space="preserve">Investors have noticed: SW has risen approximately</w:t>
      </w:r>
      <w:r>
        <w:t xml:space="preserve"> </w:t>
      </w:r>
      <w:r>
        <w:rPr>
          <w:b/>
          <w:bCs/>
        </w:rPr>
        <w:t xml:space="preserve">32% since its first-quarter report</w:t>
      </w:r>
      <w:r>
        <w:t xml:space="preserve">. That makes tomorrow’s bar higher than the formal Q2 guidance range might suggest. Merely landing within guidance may not be enough if management sounds less confident about the second half.</w:t>
      </w:r>
    </w:p>
    <w:p>
      <w:pPr>
        <w:pStyle w:val="BodyText"/>
      </w:pPr>
      <w:r>
        <w:t xml:space="preserve">The most important issues are:</w:t>
      </w:r>
    </w:p>
    <w:p>
      <w:pPr>
        <w:pStyle w:val="Compact"/>
        <w:numPr>
          <w:ilvl w:val="0"/>
          <w:numId w:val="1001"/>
        </w:numPr>
      </w:pPr>
      <w:r>
        <w:rPr>
          <w:b/>
          <w:bCs/>
        </w:rPr>
        <w:t xml:space="preserve">Where Q2 adjusted EBITDA lands within the</w:t>
      </w:r>
      <w:r>
        <w:rPr>
          <w:b/>
          <w:bCs/>
        </w:rPr>
        <w:t xml:space="preserve"> </w:t>
      </w:r>
      <m:oMath>
        <m:r>
          <m:t>1.1</m:t>
        </m:r>
        <m:r>
          <m:rPr>
            <m:sty m:val="p"/>
          </m:rPr>
          <m:t>–</m:t>
        </m:r>
      </m:oMath>
      <w:r>
        <w:rPr>
          <w:b/>
          <w:bCs/>
        </w:rPr>
        <w:t xml:space="preserve">1.2 billion range.</w:t>
      </w:r>
    </w:p>
    <w:p>
      <w:pPr>
        <w:pStyle w:val="Compact"/>
        <w:numPr>
          <w:ilvl w:val="0"/>
          <w:numId w:val="1001"/>
        </w:numPr>
      </w:pPr>
      <w:r>
        <w:rPr>
          <w:b/>
          <w:bCs/>
        </w:rPr>
        <w:t xml:space="preserve">Whether the</w:t>
      </w:r>
      <w:r>
        <w:rPr>
          <w:b/>
          <w:bCs/>
        </w:rPr>
        <w:t xml:space="preserve"> </w:t>
      </w:r>
      <m:oMath>
        <m:r>
          <m:t>5.0</m:t>
        </m:r>
        <m:r>
          <m:rPr>
            <m:sty m:val="p"/>
          </m:rPr>
          <m:t>–</m:t>
        </m:r>
      </m:oMath>
      <w:r>
        <w:rPr>
          <w:b/>
          <w:bCs/>
        </w:rPr>
        <w:t xml:space="preserve">5.3 billion full-year outlook is maintained or raised.</w:t>
      </w:r>
    </w:p>
    <w:p>
      <w:pPr>
        <w:pStyle w:val="Compact"/>
        <w:numPr>
          <w:ilvl w:val="0"/>
          <w:numId w:val="1001"/>
        </w:numPr>
      </w:pPr>
      <w:r>
        <w:rPr>
          <w:b/>
          <w:bCs/>
        </w:rPr>
        <w:t xml:space="preserve">How quickly North American corrugated volumes are recovering.</w:t>
      </w:r>
    </w:p>
    <w:p>
      <w:pPr>
        <w:pStyle w:val="Compact"/>
        <w:numPr>
          <w:ilvl w:val="0"/>
          <w:numId w:val="1001"/>
        </w:numPr>
      </w:pPr>
      <w:r>
        <w:rPr>
          <w:b/>
          <w:bCs/>
        </w:rPr>
        <w:t xml:space="preserve">How much announced paper pricing is being retained after cost inflation.</w:t>
      </w:r>
    </w:p>
    <w:p>
      <w:pPr>
        <w:pStyle w:val="Compact"/>
        <w:numPr>
          <w:ilvl w:val="0"/>
          <w:numId w:val="1001"/>
        </w:numPr>
      </w:pPr>
      <w:r>
        <w:rPr>
          <w:b/>
          <w:bCs/>
        </w:rPr>
        <w:t xml:space="preserve">Whether cash flow and leverage begin improving after a capital-intensive Q1.</w:t>
      </w:r>
    </w:p>
    <w:p>
      <w:r>
        <w:pict>
          <v:rect style="width:0;height:1.5pt" o:hralign="center" o:hrstd="t" o:hr="t"/>
        </w:pict>
      </w:r>
    </w:p>
    <w:bookmarkEnd w:id="9"/>
    <w:bookmarkStart w:id="11" w:name="the-formal-q2-benchmark"/>
    <w:p>
      <w:pPr>
        <w:pStyle w:val="Heading2"/>
      </w:pPr>
      <w:r>
        <w:t xml:space="preserve">The formal Q2 benchmark</w:t>
      </w:r>
    </w:p>
    <w:p>
      <w:pPr>
        <w:pStyle w:val="FirstParagraph"/>
      </w:pPr>
      <w:r>
        <w:t xml:space="preserve">Management guided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Company outlook</w:t>
            </w:r>
          </w:p>
        </w:tc>
      </w:tr>
      <w:tr>
        <w:tc>
          <w:tcPr/>
          <w:p>
            <w:pPr>
              <w:pStyle w:val="Compact"/>
            </w:pPr>
            <w:r>
              <w:t xml:space="preserve">Q2 adjusted EBITDA</w:t>
            </w:r>
          </w:p>
        </w:tc>
        <w:tc>
          <w:tcPr/>
          <w:p>
            <w:pPr>
              <w:pStyle w:val="Compact"/>
              <w:jc w:val="right"/>
            </w:pPr>
            <m:oMath>
              <m:r>
                <m:t>1.1</m:t>
              </m:r>
              <m:r>
                <m:rPr>
                  <m:sty m:val="p"/>
                </m:rPr>
                <m:t>–</m:t>
              </m:r>
            </m:oMath>
            <w:r>
              <w:rPr>
                <w:b/>
                <w:bCs/>
              </w:rPr>
              <w:t xml:space="preserve">1.2 billion</w:t>
            </w:r>
          </w:p>
        </w:tc>
      </w:tr>
      <w:tr>
        <w:tc>
          <w:tcPr/>
          <w:p>
            <w:pPr>
              <w:pStyle w:val="Compact"/>
            </w:pPr>
            <w:r>
              <w:t xml:space="preserve">FY2026 adjusted EBITDA</w:t>
            </w:r>
          </w:p>
        </w:tc>
        <w:tc>
          <w:tcPr/>
          <w:p>
            <w:pPr>
              <w:pStyle w:val="Compact"/>
              <w:jc w:val="right"/>
            </w:pPr>
            <m:oMath>
              <m:r>
                <m:t>5.0</m:t>
              </m:r>
              <m:r>
                <m:rPr>
                  <m:sty m:val="p"/>
                </m:rPr>
                <m:t>–</m:t>
              </m:r>
            </m:oMath>
            <w:r>
              <w:rPr>
                <w:b/>
                <w:bCs/>
              </w:rPr>
              <w:t xml:space="preserve">5.3 billion</w:t>
            </w:r>
          </w:p>
        </w:tc>
      </w:tr>
    </w:tbl>
    <w:p>
      <w:pPr>
        <w:pStyle w:val="BodyText"/>
      </w:pPr>
      <w:r>
        <w:t xml:space="preserve">For context, Q1 adjusted EBITDA was</w:t>
      </w:r>
      <w:r>
        <w:t xml:space="preserve"> </w:t>
      </w:r>
      <m:oMath>
        <m:r>
          <m:t>1.076</m:t>
        </m:r>
        <m:r>
          <m:t>b</m:t>
        </m:r>
        <m:r>
          <m:t>i</m:t>
        </m:r>
        <m:r>
          <m:t>l</m:t>
        </m:r>
        <m:r>
          <m:t>l</m:t>
        </m:r>
        <m:r>
          <m:t>i</m:t>
        </m:r>
        <m:r>
          <m:t>o</m:t>
        </m:r>
        <m:r>
          <m:t>n</m:t>
        </m:r>
        <m:r>
          <m:rPr>
            <m:sty m:val="p"/>
          </m:rPr>
          <m:t>*</m:t>
        </m:r>
        <m:r>
          <m:rPr>
            <m:sty m:val="p"/>
          </m:rPr>
          <m:t>*</m:t>
        </m:r>
        <m:r>
          <m:rPr>
            <m:sty m:val="p"/>
          </m:rPr>
          <m:t>,</m:t>
        </m:r>
        <m:r>
          <m:t>i</m:t>
        </m:r>
        <m:r>
          <m:t>n</m:t>
        </m:r>
        <m:r>
          <m:t>c</m:t>
        </m:r>
        <m:r>
          <m:t>l</m:t>
        </m:r>
        <m:r>
          <m:t>u</m:t>
        </m:r>
        <m:r>
          <m:t>d</m:t>
        </m:r>
        <m:r>
          <m:t>i</m:t>
        </m:r>
        <m:r>
          <m:t>n</m:t>
        </m:r>
        <m:r>
          <m:t>g</m:t>
        </m:r>
        <m:r>
          <m:t>a</m:t>
        </m:r>
        <m:r>
          <m:t>n</m:t>
        </m:r>
        <m:r>
          <m:t>e</m:t>
        </m:r>
        <m:r>
          <m:t>s</m:t>
        </m:r>
        <m:r>
          <m:t>t</m:t>
        </m:r>
        <m:r>
          <m:t>i</m:t>
        </m:r>
        <m:r>
          <m:t>m</m:t>
        </m:r>
        <m:r>
          <m:t>a</m:t>
        </m:r>
        <m:r>
          <m:t>t</m:t>
        </m:r>
        <m:r>
          <m:t>e</m:t>
        </m:r>
        <m:r>
          <m:t>d</m:t>
        </m:r>
        <m:r>
          <m:rPr>
            <m:sty m:val="p"/>
          </m:rPr>
          <m:t>*</m:t>
        </m:r>
        <m:r>
          <m:rPr>
            <m:sty m:val="p"/>
          </m:rPr>
          <m:t>*</m:t>
        </m:r>
      </m:oMath>
      <w:r>
        <w:rPr>
          <w:b/>
          <w:bCs/>
        </w:rPr>
        <w:t xml:space="preserve">65 million weather impact</w:t>
      </w:r>
      <w:r>
        <w:t xml:space="preserve">. Q1 results also included $74 million of economic downtime in North America.</w:t>
      </w:r>
    </w:p>
    <w:p>
      <w:pPr>
        <w:pStyle w:val="BodyText"/>
      </w:pPr>
      <w:r>
        <w:t xml:space="preserve">A Q2 result near the midpoint would represent only modest sequential growth, despite the absence of most Q1 weather disruption and materially lower expected downtime. That is because Q2 also carries higher energy, freight and recovered-fiber costs, while much of the box-price benefit is delayed until the second half.</w:t>
      </w:r>
    </w:p>
    <w:bookmarkStart w:id="10" w:name="what-constitutes-a-good-result"/>
    <w:p>
      <w:pPr>
        <w:pStyle w:val="Heading3"/>
      </w:pPr>
      <w:r>
        <w:t xml:space="preserve">What constitutes a good result?</w:t>
      </w:r>
    </w:p>
    <w:p>
      <w:pPr>
        <w:pStyle w:val="Compact"/>
        <w:numPr>
          <w:ilvl w:val="0"/>
          <w:numId w:val="1002"/>
        </w:numPr>
      </w:pPr>
      <w:r>
        <w:rPr>
          <w:b/>
          <w:bCs/>
        </w:rPr>
        <w:t xml:space="preserve">Below $1.1 billion:</w:t>
      </w:r>
      <w:r>
        <w:t xml:space="preserve"> </w:t>
      </w:r>
      <w:r>
        <w:t xml:space="preserve">Clear disappointment, especially after positive industry read-throughs.</w:t>
      </w:r>
    </w:p>
    <w:p>
      <w:pPr>
        <w:pStyle w:val="Compact"/>
        <w:numPr>
          <w:ilvl w:val="0"/>
          <w:numId w:val="1002"/>
        </w:numPr>
      </w:pPr>
      <m:oMath>
        <m:r>
          <m:t>1.1</m:t>
        </m:r>
        <m:r>
          <m:rPr>
            <m:sty m:val="p"/>
          </m:rPr>
          <m:t>–</m:t>
        </m:r>
      </m:oMath>
      <w:r>
        <w:rPr>
          <w:b/>
          <w:bCs/>
        </w:rPr>
        <w:t xml:space="preserve">1.15 billion:</w:t>
      </w:r>
      <w:r>
        <w:t xml:space="preserve"> </w:t>
      </w:r>
      <w:r>
        <w:t xml:space="preserve">Technically within guidance, but likely viewed as soft unless the second-half outlook improves.</w:t>
      </w:r>
    </w:p>
    <w:p>
      <w:pPr>
        <w:pStyle w:val="Compact"/>
        <w:numPr>
          <w:ilvl w:val="0"/>
          <w:numId w:val="1002"/>
        </w:numPr>
      </w:pPr>
      <m:oMath>
        <m:r>
          <m:t>1.15</m:t>
        </m:r>
        <m:r>
          <m:rPr>
            <m:sty m:val="p"/>
          </m:rPr>
          <m:t>–</m:t>
        </m:r>
      </m:oMath>
      <w:r>
        <w:rPr>
          <w:b/>
          <w:bCs/>
        </w:rPr>
        <w:t xml:space="preserve">1.2 billion:</w:t>
      </w:r>
      <w:r>
        <w:t xml:space="preserve"> </w:t>
      </w:r>
      <w:r>
        <w:t xml:space="preserve">Solid execution.</w:t>
      </w:r>
    </w:p>
    <w:p>
      <w:pPr>
        <w:pStyle w:val="Compact"/>
        <w:numPr>
          <w:ilvl w:val="0"/>
          <w:numId w:val="1002"/>
        </w:numPr>
      </w:pPr>
      <w:r>
        <w:rPr>
          <w:b/>
          <w:bCs/>
        </w:rPr>
        <w:t xml:space="preserve">Above $1.2 billion:</w:t>
      </w:r>
      <w:r>
        <w:t xml:space="preserve"> </w:t>
      </w:r>
      <w:r>
        <w:t xml:space="preserve">Meaningful beat and evidence that demand, uptime or pricing is improving faster than planned.</w:t>
      </w:r>
    </w:p>
    <w:p>
      <w:r>
        <w:pict>
          <v:rect style="width:0;height:1.5pt" o:hralign="center" o:hrstd="t" o:hr="t"/>
        </w:pict>
      </w:r>
    </w:p>
    <w:bookmarkEnd w:id="10"/>
    <w:bookmarkEnd w:id="11"/>
    <w:bookmarkStart w:id="12" w:name="full-year-guidance-is-the-bigger-hurdle"/>
    <w:p>
      <w:pPr>
        <w:pStyle w:val="Heading2"/>
      </w:pPr>
      <w:r>
        <w:t xml:space="preserve">Full-year guidance is the bigger hurdle</w:t>
      </w:r>
    </w:p>
    <w:p>
      <w:pPr>
        <w:pStyle w:val="FirstParagraph"/>
      </w:pPr>
      <w:r>
        <w:t xml:space="preserve">If Q2 falls within the guided range, first-half adjusted EBITDA will be approximately</w:t>
      </w:r>
      <w:r>
        <w:t xml:space="preserve"> </w:t>
      </w:r>
      <m:oMath>
        <m:r>
          <m:t>2.18</m:t>
        </m:r>
        <m:r>
          <m:rPr>
            <m:sty m:val="p"/>
          </m:rPr>
          <m:t>–</m:t>
        </m:r>
      </m:oMath>
      <w:r>
        <w:rPr>
          <w:b/>
          <w:bCs/>
        </w:rPr>
        <w:t xml:space="preserve">2.28 billion</w:t>
      </w:r>
      <w:r>
        <w:t xml:space="preserve">. Reaching the existing full-year range would then require roughly</w:t>
      </w:r>
      <w:r>
        <w:t xml:space="preserve"> </w:t>
      </w:r>
      <m:oMath>
        <m:r>
          <m:t>2.72</m:t>
        </m:r>
        <m:r>
          <m:rPr>
            <m:sty m:val="p"/>
          </m:rPr>
          <m:t>–</m:t>
        </m:r>
      </m:oMath>
      <w:r>
        <w:rPr>
          <w:b/>
          <w:bCs/>
        </w:rPr>
        <w:t xml:space="preserve">3.12 billion</w:t>
      </w:r>
      <w:r>
        <w:t xml:space="preserve"> </w:t>
      </w:r>
      <w:r>
        <w:t xml:space="preserve">in the second half, or an average of approximately</w:t>
      </w:r>
      <w:r>
        <w:t xml:space="preserve"> </w:t>
      </w:r>
      <m:oMath>
        <m:r>
          <m:t>1.36</m:t>
        </m:r>
        <m:r>
          <m:rPr>
            <m:sty m:val="p"/>
          </m:rPr>
          <m:t>–</m:t>
        </m:r>
      </m:oMath>
      <w:r>
        <w:rPr>
          <w:b/>
          <w:bCs/>
        </w:rPr>
        <w:t xml:space="preserve">1.56 billion per quarter</w:t>
      </w:r>
      <w:r>
        <w:t xml:space="preserve">.</w:t>
      </w:r>
    </w:p>
    <w:p>
      <w:pPr>
        <w:pStyle w:val="BodyText"/>
      </w:pPr>
      <w:r>
        <w:t xml:space="preserve">That is a substantial step-up from the first half.</w:t>
      </w:r>
    </w:p>
    <w:p>
      <w:pPr>
        <w:pStyle w:val="BodyText"/>
      </w:pPr>
      <w:r>
        <w:t xml:space="preserve">The bridge is expected to come from:</w:t>
      </w:r>
    </w:p>
    <w:p>
      <w:pPr>
        <w:pStyle w:val="Compact"/>
        <w:numPr>
          <w:ilvl w:val="0"/>
          <w:numId w:val="1003"/>
        </w:numPr>
      </w:pPr>
      <w:r>
        <w:t xml:space="preserve">Lower economic downtime.</w:t>
      </w:r>
    </w:p>
    <w:p>
      <w:pPr>
        <w:pStyle w:val="Compact"/>
        <w:numPr>
          <w:ilvl w:val="0"/>
          <w:numId w:val="1003"/>
        </w:numPr>
      </w:pPr>
      <w:r>
        <w:t xml:space="preserve">Recovery in North American corrugated volumes.</w:t>
      </w:r>
    </w:p>
    <w:p>
      <w:pPr>
        <w:pStyle w:val="Compact"/>
        <w:numPr>
          <w:ilvl w:val="0"/>
          <w:numId w:val="1003"/>
        </w:numPr>
      </w:pPr>
      <w:r>
        <w:t xml:space="preserve">Onboarding of newly won customers.</w:t>
      </w:r>
    </w:p>
    <w:p>
      <w:pPr>
        <w:pStyle w:val="Compact"/>
        <w:numPr>
          <w:ilvl w:val="0"/>
          <w:numId w:val="1003"/>
        </w:numPr>
      </w:pPr>
      <w:r>
        <w:t xml:space="preserve">Full realization of North American containerboard increases.</w:t>
      </w:r>
    </w:p>
    <w:p>
      <w:pPr>
        <w:pStyle w:val="Compact"/>
        <w:numPr>
          <w:ilvl w:val="0"/>
          <w:numId w:val="1003"/>
        </w:numPr>
      </w:pPr>
      <w:r>
        <w:t xml:space="preserve">European box-price increases following the normal contractual lag.</w:t>
      </w:r>
    </w:p>
    <w:p>
      <w:pPr>
        <w:pStyle w:val="Compact"/>
        <w:numPr>
          <w:ilvl w:val="0"/>
          <w:numId w:val="1003"/>
        </w:numPr>
      </w:pPr>
      <w:r>
        <w:t xml:space="preserve">Continued cost reduction and asset optimization.</w:t>
      </w:r>
    </w:p>
    <w:p>
      <w:pPr>
        <w:pStyle w:val="FirstParagraph"/>
      </w:pPr>
      <w:r>
        <w:t xml:space="preserve">The market is likely to focus less on whether guidance is mechanically reiterated and more on</w:t>
      </w:r>
      <w:r>
        <w:t xml:space="preserve"> </w:t>
      </w:r>
      <w:r>
        <w:rPr>
          <w:b/>
          <w:bCs/>
        </w:rPr>
        <w:t xml:space="preserve">how credible management makes that second-half bridge sound</w:t>
      </w:r>
      <w:r>
        <w:t xml:space="preserve">.</w:t>
      </w:r>
    </w:p>
    <w:p>
      <w:pPr>
        <w:pStyle w:val="BodyText"/>
      </w:pPr>
      <w:r>
        <w:t xml:space="preserve">A guidance increase would be a strong positive. An unchanged range accompanied by greater confidence could also be constructive. An unchanged range with heavier caveats around energy or demand would probably be interpreted negatively.</w:t>
      </w:r>
    </w:p>
    <w:p>
      <w:r>
        <w:pict>
          <v:rect style="width:0;height:1.5pt" o:hralign="center" o:hrstd="t" o:hr="t"/>
        </w:pict>
      </w:r>
    </w:p>
    <w:bookmarkEnd w:id="12"/>
    <w:bookmarkStart w:id="15" w:name="north-america-the-primary-swing-factor"/>
    <w:p>
      <w:pPr>
        <w:pStyle w:val="Heading2"/>
      </w:pPr>
      <w:r>
        <w:t xml:space="preserve">North America: the primary swing factor</w:t>
      </w:r>
    </w:p>
    <w:p>
      <w:pPr>
        <w:pStyle w:val="FirstParagraph"/>
      </w:pPr>
      <w:r>
        <w:t xml:space="preserve">North America generated Q1 adjusted EBITDA of</w:t>
      </w:r>
      <w:r>
        <w:t xml:space="preserve"> </w:t>
      </w:r>
      <w:r>
        <w:rPr>
          <w:b/>
          <w:bCs/>
        </w:rPr>
        <w:t xml:space="preserve">$597 million</w:t>
      </w:r>
      <w:r>
        <w:t xml:space="preserve">, down from $785 million a year earlier, while its adjusted EBITDA margin fell to</w:t>
      </w:r>
      <w:r>
        <w:t xml:space="preserve"> </w:t>
      </w:r>
      <w:r>
        <w:rPr>
          <w:b/>
          <w:bCs/>
        </w:rPr>
        <w:t xml:space="preserve">13.3% from 16.8%</w:t>
      </w:r>
      <w:r>
        <w:t xml:space="preserve">.</w:t>
      </w:r>
    </w:p>
    <w:p>
      <w:pPr>
        <w:pStyle w:val="BodyText"/>
      </w:pPr>
      <w:r>
        <w:t xml:space="preserve">The decline reflected:</w:t>
      </w:r>
    </w:p>
    <w:p>
      <w:pPr>
        <w:pStyle w:val="Compact"/>
        <w:numPr>
          <w:ilvl w:val="0"/>
          <w:numId w:val="1004"/>
        </w:numPr>
      </w:pPr>
      <w:r>
        <w:t xml:space="preserve">$74 million of economic downtime.</w:t>
      </w:r>
    </w:p>
    <w:p>
      <w:pPr>
        <w:pStyle w:val="Compact"/>
        <w:numPr>
          <w:ilvl w:val="0"/>
          <w:numId w:val="1004"/>
        </w:numPr>
      </w:pPr>
      <w:r>
        <w:t xml:space="preserve">$55 million of adverse weather.</w:t>
      </w:r>
    </w:p>
    <w:p>
      <w:pPr>
        <w:pStyle w:val="Compact"/>
        <w:numPr>
          <w:ilvl w:val="0"/>
          <w:numId w:val="1004"/>
        </w:numPr>
      </w:pPr>
      <w:r>
        <w:t xml:space="preserve">$38 million of higher freight costs.</w:t>
      </w:r>
    </w:p>
    <w:p>
      <w:pPr>
        <w:pStyle w:val="Compact"/>
        <w:numPr>
          <w:ilvl w:val="0"/>
          <w:numId w:val="1004"/>
        </w:numPr>
      </w:pPr>
      <w:r>
        <w:t xml:space="preserve">$32 million of higher net energy costs.</w:t>
      </w:r>
    </w:p>
    <w:p>
      <w:pPr>
        <w:pStyle w:val="Compact"/>
        <w:numPr>
          <w:ilvl w:val="0"/>
          <w:numId w:val="1004"/>
        </w:numPr>
      </w:pPr>
      <w:r>
        <w:t xml:space="preserve">Lower corrugated volumes following the exit from uneconomic accounts.</w:t>
      </w:r>
    </w:p>
    <w:p>
      <w:pPr>
        <w:pStyle w:val="FirstParagraph"/>
      </w:pPr>
      <w:r>
        <w:t xml:space="preserve">Management said it did not expect material Q2 downtime, making the North American sequential recovery one of tomorrow’s cleanest execution tests.</w:t>
      </w:r>
    </w:p>
    <w:bookmarkStart w:id="13" w:name="volume-recovery"/>
    <w:p>
      <w:pPr>
        <w:pStyle w:val="Heading3"/>
      </w:pPr>
      <w:r>
        <w:t xml:space="preserve">Volume recovery</w:t>
      </w:r>
    </w:p>
    <w:p>
      <w:pPr>
        <w:pStyle w:val="FirstParagraph"/>
      </w:pPr>
      <w:r>
        <w:t xml:space="preserve">SW deliberately gave up low-return corrugated business during 2025. Q1 North American volume remained down approximately 7%, while April was down about 4% year over year. The company signed more than</w:t>
      </w:r>
      <w:r>
        <w:t xml:space="preserve"> </w:t>
      </w:r>
      <w:r>
        <w:rPr>
          <w:b/>
          <w:bCs/>
        </w:rPr>
        <w:t xml:space="preserve">600 new corrugated customers in Q1</w:t>
      </w:r>
      <w:r>
        <w:t xml:space="preserve">, and April new-customer volume was reportedly 30% above March.</w:t>
      </w:r>
    </w:p>
    <w:p>
      <w:pPr>
        <w:pStyle w:val="BodyText"/>
      </w:pPr>
      <w:r>
        <w:t xml:space="preserve">Investors should watch for:</w:t>
      </w:r>
    </w:p>
    <w:p>
      <w:pPr>
        <w:pStyle w:val="Compact"/>
        <w:numPr>
          <w:ilvl w:val="0"/>
          <w:numId w:val="1005"/>
        </w:numPr>
      </w:pPr>
      <w:r>
        <w:t xml:space="preserve">Whether the year-over-year volume decline narrowed through May and June.</w:t>
      </w:r>
    </w:p>
    <w:p>
      <w:pPr>
        <w:pStyle w:val="Compact"/>
        <w:numPr>
          <w:ilvl w:val="0"/>
          <w:numId w:val="1005"/>
        </w:numPr>
      </w:pPr>
      <w:r>
        <w:t xml:space="preserve">The amount of newly won business already onboarded.</w:t>
      </w:r>
    </w:p>
    <w:p>
      <w:pPr>
        <w:pStyle w:val="Compact"/>
        <w:numPr>
          <w:ilvl w:val="0"/>
          <w:numId w:val="1005"/>
        </w:numPr>
      </w:pPr>
      <w:r>
        <w:t xml:space="preserve">Whether management still expects positive year-over-year growth in the second half.</w:t>
      </w:r>
    </w:p>
    <w:p>
      <w:pPr>
        <w:pStyle w:val="Compact"/>
        <w:numPr>
          <w:ilvl w:val="0"/>
          <w:numId w:val="1005"/>
        </w:numPr>
      </w:pPr>
      <w:r>
        <w:t xml:space="preserve">Whether gains are coming at attractive margins rather than through price concessions.</w:t>
      </w:r>
    </w:p>
    <w:p>
      <w:pPr>
        <w:pStyle w:val="Compact"/>
        <w:numPr>
          <w:ilvl w:val="0"/>
          <w:numId w:val="1005"/>
        </w:numPr>
      </w:pPr>
      <w:r>
        <w:t xml:space="preserve">Progress reducing the remaining loss-making converting plants.</w:t>
      </w:r>
    </w:p>
    <w:p>
      <w:pPr>
        <w:pStyle w:val="FirstParagraph"/>
      </w:pPr>
      <w:r>
        <w:t xml:space="preserve">A slower decline would be progress; a return to growth would be a material positive surprise.</w:t>
      </w:r>
    </w:p>
    <w:bookmarkEnd w:id="13"/>
    <w:bookmarkStart w:id="14" w:name="pricing"/>
    <w:p>
      <w:pPr>
        <w:pStyle w:val="Heading3"/>
      </w:pPr>
      <w:r>
        <w:t xml:space="preserve">Pricing</w:t>
      </w:r>
    </w:p>
    <w:p>
      <w:pPr>
        <w:pStyle w:val="FirstParagraph"/>
      </w:pPr>
      <w:r>
        <w:t xml:space="preserve">North American containerboard pricing increased by a net $20 per ton in Q1, followed by an additional $30 per ton in April. Management previously expected the combined $50 increase to be essentially fully implemented by July 1. A second $50 increase was announced for June, with potential full realization by September.</w:t>
      </w:r>
    </w:p>
    <w:p>
      <w:pPr>
        <w:pStyle w:val="BodyText"/>
      </w:pPr>
      <w:r>
        <w:t xml:space="preserve">Recent industry signals are supportive. Packaging Corporation of America reported record legacy corrugated shipments in Q2, operated its mills at full capacity and reduced exports to support domestic box demand. International Paper has also reportedly announced an additional $80-per-ton containerboard increase for September.</w:t>
      </w:r>
    </w:p>
    <w:p>
      <w:pPr>
        <w:pStyle w:val="BodyText"/>
      </w:pPr>
      <w:r>
        <w:t xml:space="preserve">The questions for SW are:</w:t>
      </w:r>
    </w:p>
    <w:p>
      <w:pPr>
        <w:pStyle w:val="Compact"/>
        <w:numPr>
          <w:ilvl w:val="0"/>
          <w:numId w:val="1006"/>
        </w:numPr>
      </w:pPr>
      <w:r>
        <w:t xml:space="preserve">How much of the first increase affected Q2?</w:t>
      </w:r>
    </w:p>
    <w:p>
      <w:pPr>
        <w:pStyle w:val="Compact"/>
        <w:numPr>
          <w:ilvl w:val="0"/>
          <w:numId w:val="1006"/>
        </w:numPr>
      </w:pPr>
      <w:r>
        <w:t xml:space="preserve">Is the second $50 increase being implemented successfully?</w:t>
      </w:r>
    </w:p>
    <w:p>
      <w:pPr>
        <w:pStyle w:val="Compact"/>
        <w:numPr>
          <w:ilvl w:val="0"/>
          <w:numId w:val="1006"/>
        </w:numPr>
      </w:pPr>
      <w:r>
        <w:t xml:space="preserve">Are box-price increases following without meaningful customer losses?</w:t>
      </w:r>
    </w:p>
    <w:p>
      <w:pPr>
        <w:pStyle w:val="Compact"/>
        <w:numPr>
          <w:ilvl w:val="0"/>
          <w:numId w:val="1006"/>
        </w:numPr>
      </w:pPr>
      <w:r>
        <w:t xml:space="preserve">Is pricing improving faster than freight, fiber and energy costs?</w:t>
      </w:r>
    </w:p>
    <w:p>
      <w:pPr>
        <w:pStyle w:val="FirstParagraph"/>
      </w:pPr>
      <w:r>
        <w:t xml:space="preserve">A key distinction is whether pricing is producing</w:t>
      </w:r>
      <w:r>
        <w:t xml:space="preserve"> </w:t>
      </w:r>
      <w:r>
        <w:rPr>
          <w:b/>
          <w:bCs/>
        </w:rPr>
        <w:t xml:space="preserve">margin expansion</w:t>
      </w:r>
      <w:r>
        <w:t xml:space="preserve"> </w:t>
      </w:r>
      <w:r>
        <w:t xml:space="preserve">or merely recovering inflation.</w:t>
      </w:r>
    </w:p>
    <w:p>
      <w:r>
        <w:pict>
          <v:rect style="width:0;height:1.5pt" o:hralign="center" o:hrstd="t" o:hr="t"/>
        </w:pict>
      </w:r>
    </w:p>
    <w:bookmarkEnd w:id="14"/>
    <w:bookmarkEnd w:id="15"/>
    <w:bookmarkStart w:id="16" w:name="X3be95b8735e82b4be6a05e6f6dcbcaca403e53d"/>
    <w:p>
      <w:pPr>
        <w:pStyle w:val="Heading2"/>
      </w:pPr>
      <w:r>
        <w:t xml:space="preserve">Europe, Middle East, Africa and Asia-Pacific</w:t>
      </w:r>
    </w:p>
    <w:p>
      <w:pPr>
        <w:pStyle w:val="FirstParagraph"/>
      </w:pPr>
      <w:r>
        <w:t xml:space="preserve">EMEA and APAC was the strongest part of the Q1 report. Adjusted EBITDA increased to</w:t>
      </w:r>
      <w:r>
        <w:t xml:space="preserve"> </w:t>
      </w:r>
      <w:r>
        <w:rPr>
          <w:b/>
          <w:bCs/>
        </w:rPr>
        <w:t xml:space="preserve">$421 million</w:t>
      </w:r>
      <w:r>
        <w:t xml:space="preserve"> </w:t>
      </w:r>
      <w:r>
        <w:t xml:space="preserve">from $389 million, and margin edged up to</w:t>
      </w:r>
      <w:r>
        <w:t xml:space="preserve"> </w:t>
      </w:r>
      <w:r>
        <w:rPr>
          <w:b/>
          <w:bCs/>
        </w:rPr>
        <w:t xml:space="preserve">15.2%</w:t>
      </w:r>
      <w:r>
        <w:t xml:space="preserve"> </w:t>
      </w:r>
      <w:r>
        <w:t xml:space="preserve">despite a difficult economic backdrop.</w:t>
      </w:r>
    </w:p>
    <w:p>
      <w:pPr>
        <w:pStyle w:val="BodyText"/>
      </w:pPr>
      <w:r>
        <w:t xml:space="preserve">Management announced approximately €100-per-ton increases in European recycled containerboard, along with increases in kraftliner and selected specialty grades. However, converted-product pricing normally follows paper pricing with a three-to-six-month lag. Management expected only a minor Q2 benefit, with more meaningful realization in Q3 and Q4.</w:t>
      </w:r>
    </w:p>
    <w:p>
      <w:pPr>
        <w:pStyle w:val="BodyText"/>
      </w:pPr>
      <w:r>
        <w:t xml:space="preserve">Q2 therefore represents a potential margin trough between rising input costs and delayed box pricing.</w:t>
      </w:r>
    </w:p>
    <w:p>
      <w:pPr>
        <w:pStyle w:val="BodyText"/>
      </w:pPr>
      <w:r>
        <w:t xml:space="preserve">What to monitor:</w:t>
      </w:r>
    </w:p>
    <w:p>
      <w:pPr>
        <w:pStyle w:val="Compact"/>
        <w:numPr>
          <w:ilvl w:val="0"/>
          <w:numId w:val="1007"/>
        </w:numPr>
      </w:pPr>
      <w:r>
        <w:t xml:space="preserve">Whether the regional margin remains around 15%.</w:t>
      </w:r>
    </w:p>
    <w:p>
      <w:pPr>
        <w:pStyle w:val="Compact"/>
        <w:numPr>
          <w:ilvl w:val="0"/>
          <w:numId w:val="1007"/>
        </w:numPr>
      </w:pPr>
      <w:r>
        <w:t xml:space="preserve">Progress implementing higher paper and corrugated prices.</w:t>
      </w:r>
    </w:p>
    <w:p>
      <w:pPr>
        <w:pStyle w:val="Compact"/>
        <w:numPr>
          <w:ilvl w:val="0"/>
          <w:numId w:val="1007"/>
        </w:numPr>
      </w:pPr>
      <w:r>
        <w:t xml:space="preserve">Demand and order-book commentary by country.</w:t>
      </w:r>
    </w:p>
    <w:p>
      <w:pPr>
        <w:pStyle w:val="Compact"/>
        <w:numPr>
          <w:ilvl w:val="0"/>
          <w:numId w:val="1007"/>
        </w:numPr>
      </w:pPr>
      <w:r>
        <w:t xml:space="preserve">Energy costs after Q1 hedging protection began rolling off.</w:t>
      </w:r>
    </w:p>
    <w:p>
      <w:pPr>
        <w:pStyle w:val="Compact"/>
        <w:numPr>
          <w:ilvl w:val="0"/>
          <w:numId w:val="1007"/>
        </w:numPr>
      </w:pPr>
      <w:r>
        <w:t xml:space="preserve">Savings and charges from proposed mill and converting-plant closures.</w:t>
      </w:r>
    </w:p>
    <w:p>
      <w:pPr>
        <w:pStyle w:val="FirstParagraph"/>
      </w:pPr>
      <w:r>
        <w:t xml:space="preserve">The company was approximately 50% hedged for Q2 European energy exposure when it last reported, versus roughly one-third for each of Q3 and Q4. Consequently, the second-half pricing/cost balance may matter more than the Q2 result itself.</w:t>
      </w:r>
    </w:p>
    <w:p>
      <w:r>
        <w:pict>
          <v:rect style="width:0;height:1.5pt" o:hralign="center" o:hrstd="t" o:hr="t"/>
        </w:pict>
      </w:r>
    </w:p>
    <w:bookmarkEnd w:id="16"/>
    <w:bookmarkStart w:id="17" w:name="X2b2595c61255f0bc10a75069010dbac83c8fe92"/>
    <w:p>
      <w:pPr>
        <w:pStyle w:val="Heading2"/>
      </w:pPr>
      <w:r>
        <w:t xml:space="preserve">Cost inflation has become the central risk</w:t>
      </w:r>
    </w:p>
    <w:p>
      <w:pPr>
        <w:pStyle w:val="FirstParagraph"/>
      </w:pPr>
      <w:r>
        <w:t xml:space="preserve">At the start of 2026, management expected energy to be approximately an</w:t>
      </w:r>
      <w:r>
        <w:t xml:space="preserve"> </w:t>
      </w:r>
      <m:oMath>
        <m:r>
          <m:t>80</m:t>
        </m:r>
        <m:r>
          <m:t>m</m:t>
        </m:r>
        <m:r>
          <m:t>i</m:t>
        </m:r>
        <m:r>
          <m:t>l</m:t>
        </m:r>
        <m:r>
          <m:t>l</m:t>
        </m:r>
        <m:r>
          <m:t>i</m:t>
        </m:r>
        <m:r>
          <m:t>o</m:t>
        </m:r>
        <m:r>
          <m:t>n</m:t>
        </m:r>
        <m:r>
          <m:t>y</m:t>
        </m:r>
        <m:r>
          <m:t>e</m:t>
        </m:r>
        <m:r>
          <m:t>a</m:t>
        </m:r>
        <m:r>
          <m:t>r</m:t>
        </m:r>
        <m:r>
          <m:rPr>
            <m:sty m:val="p"/>
          </m:rPr>
          <m:t>−</m:t>
        </m:r>
        <m:r>
          <m:t>o</m:t>
        </m:r>
        <m:r>
          <m:t>v</m:t>
        </m:r>
        <m:r>
          <m:t>e</m:t>
        </m:r>
        <m:r>
          <m:t>r</m:t>
        </m:r>
        <m:r>
          <m:rPr>
            <m:sty m:val="p"/>
          </m:rPr>
          <m:t>−</m:t>
        </m:r>
        <m:r>
          <m:t>y</m:t>
        </m:r>
        <m:r>
          <m:t>e</m:t>
        </m:r>
        <m:r>
          <m:t>a</m:t>
        </m:r>
        <m:r>
          <m:t>r</m:t>
        </m:r>
        <m:r>
          <m:t>h</m:t>
        </m:r>
        <m:r>
          <m:t>e</m:t>
        </m:r>
        <m:r>
          <m:t>a</m:t>
        </m:r>
        <m:r>
          <m:t>d</m:t>
        </m:r>
        <m:r>
          <m:t>w</m:t>
        </m:r>
        <m:r>
          <m:t>i</m:t>
        </m:r>
        <m:r>
          <m:t>n</m:t>
        </m:r>
        <m:r>
          <m:t>d</m:t>
        </m:r>
        <m:r>
          <m:rPr>
            <m:sty m:val="p"/>
          </m:rPr>
          <m:t>.</m:t>
        </m:r>
        <m:r>
          <m:t>B</m:t>
        </m:r>
        <m:r>
          <m:t>y</m:t>
        </m:r>
        <m:r>
          <m:t>t</m:t>
        </m:r>
        <m:r>
          <m:t>h</m:t>
        </m:r>
        <m:r>
          <m:t>e</m:t>
        </m:r>
        <m:r>
          <m:t>Q</m:t>
        </m:r>
        <m:r>
          <m:t>1</m:t>
        </m:r>
        <m:r>
          <m:t>c</m:t>
        </m:r>
        <m:r>
          <m:t>a</m:t>
        </m:r>
        <m:r>
          <m:t>l</m:t>
        </m:r>
        <m:r>
          <m:t>l</m:t>
        </m:r>
        <m:r>
          <m:rPr>
            <m:sty m:val="p"/>
          </m:rPr>
          <m:t>,</m:t>
        </m:r>
        <m:r>
          <m:t>t</m:t>
        </m:r>
        <m:r>
          <m:t>h</m:t>
        </m:r>
        <m:r>
          <m:t>a</m:t>
        </m:r>
        <m:r>
          <m:t>t</m:t>
        </m:r>
        <m:r>
          <m:t>e</m:t>
        </m:r>
        <m:r>
          <m:t>s</m:t>
        </m:r>
        <m:r>
          <m:t>t</m:t>
        </m:r>
        <m:r>
          <m:t>i</m:t>
        </m:r>
        <m:r>
          <m:t>m</m:t>
        </m:r>
        <m:r>
          <m:t>a</m:t>
        </m:r>
        <m:r>
          <m:t>t</m:t>
        </m:r>
        <m:r>
          <m:t>e</m:t>
        </m:r>
        <m:r>
          <m:t>h</m:t>
        </m:r>
        <m:r>
          <m:t>a</m:t>
        </m:r>
        <m:r>
          <m:t>d</m:t>
        </m:r>
        <m:r>
          <m:t>r</m:t>
        </m:r>
        <m:r>
          <m:t>i</m:t>
        </m:r>
        <m:r>
          <m:t>s</m:t>
        </m:r>
        <m:r>
          <m:t>e</m:t>
        </m:r>
        <m:r>
          <m:t>n</m:t>
        </m:r>
        <m:r>
          <m:t>t</m:t>
        </m:r>
        <m:r>
          <m:t>o</m:t>
        </m:r>
        <m:r>
          <m:t>r</m:t>
        </m:r>
        <m:r>
          <m:t>o</m:t>
        </m:r>
        <m:r>
          <m:t>u</m:t>
        </m:r>
        <m:r>
          <m:t>g</m:t>
        </m:r>
        <m:r>
          <m:t>h</m:t>
        </m:r>
        <m:r>
          <m:t>l</m:t>
        </m:r>
        <m:r>
          <m:t>y</m:t>
        </m:r>
        <m:r>
          <m:rPr>
            <m:sty m:val="p"/>
          </m:rPr>
          <m:t>*</m:t>
        </m:r>
        <m:r>
          <m:rPr>
            <m:sty m:val="p"/>
          </m:rPr>
          <m:t>*</m:t>
        </m:r>
      </m:oMath>
      <w:r>
        <w:t xml:space="preserve">270–$290 million**. Freight was expected to be around a $50 million headwind, while recovered fiber was also rising sequentially.</w:t>
      </w:r>
    </w:p>
    <w:p>
      <w:pPr>
        <w:pStyle w:val="BodyText"/>
      </w:pPr>
      <w:r>
        <w:t xml:space="preserve">Recent volatility in global oil and energy markets increases the risk that the cost environment has worsened further.</w:t>
      </w:r>
    </w:p>
    <w:p>
      <w:pPr>
        <w:pStyle w:val="BodyText"/>
      </w:pPr>
      <w:r>
        <w:t xml:space="preserve">Key items to listen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Cost item</w:t>
            </w:r>
          </w:p>
        </w:tc>
        <w:tc>
          <w:tcPr/>
          <w:p>
            <w:pPr>
              <w:pStyle w:val="Compact"/>
            </w:pPr>
            <w:r>
              <w:t xml:space="preserve">Main question</w:t>
            </w:r>
          </w:p>
        </w:tc>
      </w:tr>
      <w:tr>
        <w:tc>
          <w:tcPr/>
          <w:p>
            <w:pPr>
              <w:pStyle w:val="Compact"/>
            </w:pPr>
            <w:r>
              <w:t xml:space="preserve">Energy</w:t>
            </w:r>
          </w:p>
        </w:tc>
        <w:tc>
          <w:tcPr/>
          <w:p>
            <w:pPr>
              <w:pStyle w:val="Compact"/>
            </w:pPr>
            <w:r>
              <w:t xml:space="preserve">Has the full-year headwind increased again?</w:t>
            </w:r>
          </w:p>
        </w:tc>
      </w:tr>
      <w:tr>
        <w:tc>
          <w:tcPr/>
          <w:p>
            <w:pPr>
              <w:pStyle w:val="Compact"/>
            </w:pPr>
            <w:r>
              <w:t xml:space="preserve">Freight</w:t>
            </w:r>
          </w:p>
        </w:tc>
        <w:tc>
          <w:tcPr/>
          <w:p>
            <w:pPr>
              <w:pStyle w:val="Compact"/>
            </w:pPr>
            <w:r>
              <w:t xml:space="preserve">Are elevated May and June rates persisting into Q3?</w:t>
            </w:r>
          </w:p>
        </w:tc>
      </w:tr>
      <w:tr>
        <w:tc>
          <w:tcPr/>
          <w:p>
            <w:pPr>
              <w:pStyle w:val="Compact"/>
            </w:pPr>
            <w:r>
              <w:t xml:space="preserve">Recovered fiber/OCC</w:t>
            </w:r>
          </w:p>
        </w:tc>
        <w:tc>
          <w:tcPr/>
          <w:p>
            <w:pPr>
              <w:pStyle w:val="Compact"/>
            </w:pPr>
            <w:r>
              <w:t xml:space="preserve">Is tight supply pushing costs above the prior plan?</w:t>
            </w:r>
          </w:p>
        </w:tc>
      </w:tr>
      <w:tr>
        <w:tc>
          <w:tcPr/>
          <w:p>
            <w:pPr>
              <w:pStyle w:val="Compact"/>
            </w:pPr>
            <w:r>
              <w:t xml:space="preserve">Labor</w:t>
            </w:r>
          </w:p>
        </w:tc>
        <w:tc>
          <w:tcPr/>
          <w:p>
            <w:pPr>
              <w:pStyle w:val="Compact"/>
            </w:pPr>
            <w:r>
              <w:t xml:space="preserve">Are restructuring and productivity programs still limiting inflation?</w:t>
            </w:r>
          </w:p>
        </w:tc>
      </w:tr>
      <w:tr>
        <w:tc>
          <w:tcPr/>
          <w:p>
            <w:pPr>
              <w:pStyle w:val="Compact"/>
            </w:pPr>
            <w:r>
              <w:t xml:space="preserve">Chemicals/electricity</w:t>
            </w:r>
          </w:p>
        </w:tc>
        <w:tc>
          <w:tcPr/>
          <w:p>
            <w:pPr>
              <w:pStyle w:val="Compact"/>
            </w:pPr>
            <w:r>
              <w:t xml:space="preserve">Are these becoming material incremental pressures?</w:t>
            </w:r>
          </w:p>
        </w:tc>
      </w:tr>
    </w:tbl>
    <w:p>
      <w:pPr>
        <w:pStyle w:val="BodyText"/>
      </w:pPr>
      <w:r>
        <w:t xml:space="preserve">SW’s global integration and internal paper supply provide advantages, but the company remains an energy-intensive manufacturer with significant transportation exposure.</w:t>
      </w:r>
    </w:p>
    <w:p>
      <w:r>
        <w:pict>
          <v:rect style="width:0;height:1.5pt" o:hralign="center" o:hrstd="t" o:hr="t"/>
        </w:pict>
      </w:r>
    </w:p>
    <w:bookmarkEnd w:id="17"/>
    <w:bookmarkStart w:id="18" w:name="Xf6b5efbdef822e3d0b48b9331060fd8f7a9afd0"/>
    <w:p>
      <w:pPr>
        <w:pStyle w:val="Heading2"/>
      </w:pPr>
      <w:r>
        <w:t xml:space="preserve">Latin America should remain the stabilizer</w:t>
      </w:r>
    </w:p>
    <w:p>
      <w:pPr>
        <w:pStyle w:val="FirstParagraph"/>
      </w:pPr>
      <w:r>
        <w:t xml:space="preserve">Latin America produced Q1 adjusted EBITDA of</w:t>
      </w:r>
      <w:r>
        <w:t xml:space="preserve"> </w:t>
      </w:r>
      <w:r>
        <w:rPr>
          <w:b/>
          <w:bCs/>
        </w:rPr>
        <w:t xml:space="preserve">$109 million</w:t>
      </w:r>
      <w:r>
        <w:t xml:space="preserve"> </w:t>
      </w:r>
      <w:r>
        <w:t xml:space="preserve">at a</w:t>
      </w:r>
      <w:r>
        <w:t xml:space="preserve"> </w:t>
      </w:r>
      <w:r>
        <w:rPr>
          <w:b/>
          <w:bCs/>
        </w:rPr>
        <w:t xml:space="preserve">20.2% margin</w:t>
      </w:r>
      <w:r>
        <w:t xml:space="preserve">. Management described business conditions as favorable, with volume growth in Brazil and Colombia, tighter paper markets and improving pricing.</w:t>
      </w:r>
    </w:p>
    <w:p>
      <w:pPr>
        <w:pStyle w:val="BodyText"/>
      </w:pPr>
      <w:r>
        <w:t xml:space="preserve">Expectations here are relatively straightforward:</w:t>
      </w:r>
    </w:p>
    <w:p>
      <w:pPr>
        <w:pStyle w:val="Compact"/>
        <w:numPr>
          <w:ilvl w:val="0"/>
          <w:numId w:val="1008"/>
        </w:numPr>
      </w:pPr>
      <w:r>
        <w:t xml:space="preserve">Maintain a margin above 20%.</w:t>
      </w:r>
    </w:p>
    <w:p>
      <w:pPr>
        <w:pStyle w:val="Compact"/>
        <w:numPr>
          <w:ilvl w:val="0"/>
          <w:numId w:val="1008"/>
        </w:numPr>
      </w:pPr>
      <w:r>
        <w:t xml:space="preserve">Continue profitable volume growth.</w:t>
      </w:r>
    </w:p>
    <w:p>
      <w:pPr>
        <w:pStyle w:val="Compact"/>
        <w:numPr>
          <w:ilvl w:val="0"/>
          <w:numId w:val="1008"/>
        </w:numPr>
      </w:pPr>
      <w:r>
        <w:t xml:space="preserve">Demonstrate benefits from the Ecuador acquisition.</w:t>
      </w:r>
    </w:p>
    <w:p>
      <w:pPr>
        <w:pStyle w:val="Compact"/>
        <w:numPr>
          <w:ilvl w:val="0"/>
          <w:numId w:val="1008"/>
        </w:numPr>
      </w:pPr>
      <w:r>
        <w:t xml:space="preserve">Use North American paper integration to support regional growth.</w:t>
      </w:r>
    </w:p>
    <w:p>
      <w:pPr>
        <w:pStyle w:val="FirstParagraph"/>
      </w:pPr>
      <w:r>
        <w:t xml:space="preserve">A significant deterioration would be concerning because Latin America has been SW’s most consistently profitable region.</w:t>
      </w:r>
    </w:p>
    <w:p>
      <w:r>
        <w:pict>
          <v:rect style="width:0;height:1.5pt" o:hralign="center" o:hrstd="t" o:hr="t"/>
        </w:pict>
      </w:r>
    </w:p>
    <w:bookmarkEnd w:id="18"/>
    <w:bookmarkStart w:id="19" w:name="Xb581b4ea573e4964bf47c2cc0a55f067c6661bd"/>
    <w:p>
      <w:pPr>
        <w:pStyle w:val="Heading2"/>
      </w:pPr>
      <w:r>
        <w:t xml:space="preserve">Cash flow and balance sheet deserve more attention</w:t>
      </w:r>
    </w:p>
    <w:p>
      <w:pPr>
        <w:pStyle w:val="FirstParagraph"/>
      </w:pPr>
      <w:r>
        <w:t xml:space="preserve">Q1 cash generation was weak relative to investment:</w:t>
      </w:r>
    </w:p>
    <w:p>
      <w:pPr>
        <w:pStyle w:val="Compact"/>
        <w:numPr>
          <w:ilvl w:val="0"/>
          <w:numId w:val="1009"/>
        </w:numPr>
      </w:pPr>
      <w:r>
        <w:t xml:space="preserve">Cash from operations:</w:t>
      </w:r>
      <w:r>
        <w:t xml:space="preserve"> </w:t>
      </w:r>
      <w:r>
        <w:rPr>
          <w:b/>
          <w:bCs/>
        </w:rPr>
        <w:t xml:space="preserve">$204 million</w:t>
      </w:r>
    </w:p>
    <w:p>
      <w:pPr>
        <w:pStyle w:val="Compact"/>
        <w:numPr>
          <w:ilvl w:val="0"/>
          <w:numId w:val="1009"/>
        </w:numPr>
      </w:pPr>
      <w:r>
        <w:t xml:space="preserve">Capital expenditures:</w:t>
      </w:r>
      <w:r>
        <w:t xml:space="preserve"> </w:t>
      </w:r>
      <w:r>
        <w:rPr>
          <w:b/>
          <w:bCs/>
        </w:rPr>
        <w:t xml:space="preserve">$624 million</w:t>
      </w:r>
    </w:p>
    <w:p>
      <w:pPr>
        <w:pStyle w:val="Compact"/>
        <w:numPr>
          <w:ilvl w:val="0"/>
          <w:numId w:val="1009"/>
        </w:numPr>
      </w:pPr>
      <w:r>
        <w:t xml:space="preserve">Cash dividends:</w:t>
      </w:r>
      <w:r>
        <w:t xml:space="preserve"> </w:t>
      </w:r>
      <w:r>
        <w:rPr>
          <w:b/>
          <w:bCs/>
        </w:rPr>
        <w:t xml:space="preserve">$237 million</w:t>
      </w:r>
    </w:p>
    <w:p>
      <w:pPr>
        <w:pStyle w:val="Compact"/>
        <w:numPr>
          <w:ilvl w:val="0"/>
          <w:numId w:val="1009"/>
        </w:numPr>
      </w:pPr>
      <w:r>
        <w:t xml:space="preserve">Total debt at quarter-end:</w:t>
      </w:r>
      <w:r>
        <w:t xml:space="preserve"> </w:t>
      </w:r>
      <w:r>
        <w:rPr>
          <w:b/>
          <w:bCs/>
        </w:rPr>
        <w:t xml:space="preserve">$14.26 billion</w:t>
      </w:r>
    </w:p>
    <w:p>
      <w:pPr>
        <w:pStyle w:val="Compact"/>
        <w:numPr>
          <w:ilvl w:val="0"/>
          <w:numId w:val="1009"/>
        </w:numPr>
      </w:pPr>
      <w:r>
        <w:t xml:space="preserve">Cash:</w:t>
      </w:r>
      <w:r>
        <w:t xml:space="preserve"> </w:t>
      </w:r>
      <w:r>
        <w:rPr>
          <w:b/>
          <w:bCs/>
        </w:rPr>
        <w:t xml:space="preserve">$674 million</w:t>
      </w:r>
    </w:p>
    <w:p>
      <w:pPr>
        <w:pStyle w:val="FirstParagraph"/>
      </w:pPr>
      <w:r>
        <w:t xml:space="preserve">Part of the weakness was seasonal working capital, but debt increased during the quarter. The medium-term plan calls for annual capital spending of approximately</w:t>
      </w:r>
      <w:r>
        <w:t xml:space="preserve"> </w:t>
      </w:r>
      <m:oMath>
        <m:r>
          <m:t>2.4</m:t>
        </m:r>
        <m:r>
          <m:rPr>
            <m:sty m:val="p"/>
          </m:rPr>
          <m:t>–</m:t>
        </m:r>
      </m:oMath>
      <w:r>
        <w:rPr>
          <w:b/>
          <w:bCs/>
        </w:rPr>
        <w:t xml:space="preserve">2.8 billion</w:t>
      </w:r>
      <w:r>
        <w:t xml:space="preserve">, so improved operating cash flow is necessary to fund investment, dividends and eventual buybacks while reducing leverage toward the sub-2x target.</w:t>
      </w:r>
    </w:p>
    <w:p>
      <w:pPr>
        <w:pStyle w:val="BodyText"/>
      </w:pPr>
      <w:r>
        <w:t xml:space="preserve">Important Q2 indicators include:</w:t>
      </w:r>
    </w:p>
    <w:p>
      <w:pPr>
        <w:pStyle w:val="Compact"/>
        <w:numPr>
          <w:ilvl w:val="0"/>
          <w:numId w:val="1010"/>
        </w:numPr>
      </w:pPr>
      <w:r>
        <w:t xml:space="preserve">Sequential improvement in operating cash flow.</w:t>
      </w:r>
    </w:p>
    <w:p>
      <w:pPr>
        <w:pStyle w:val="Compact"/>
        <w:numPr>
          <w:ilvl w:val="0"/>
          <w:numId w:val="1010"/>
        </w:numPr>
      </w:pPr>
      <w:r>
        <w:t xml:space="preserve">Working-capital discipline as demand and pricing increase.</w:t>
      </w:r>
    </w:p>
    <w:p>
      <w:pPr>
        <w:pStyle w:val="Compact"/>
        <w:numPr>
          <w:ilvl w:val="0"/>
          <w:numId w:val="1010"/>
        </w:numPr>
      </w:pPr>
      <w:r>
        <w:t xml:space="preserve">Updated capital-expenditure guidance.</w:t>
      </w:r>
    </w:p>
    <w:p>
      <w:pPr>
        <w:pStyle w:val="Compact"/>
        <w:numPr>
          <w:ilvl w:val="0"/>
          <w:numId w:val="1010"/>
        </w:numPr>
      </w:pPr>
      <w:r>
        <w:t xml:space="preserve">Net-debt and leverage progression.</w:t>
      </w:r>
    </w:p>
    <w:p>
      <w:pPr>
        <w:pStyle w:val="Compact"/>
        <w:numPr>
          <w:ilvl w:val="0"/>
          <w:numId w:val="1010"/>
        </w:numPr>
      </w:pPr>
      <w:r>
        <w:t xml:space="preserve">Whether management still expects buyback capacity beginning in 2027.</w:t>
      </w:r>
    </w:p>
    <w:p>
      <w:pPr>
        <w:pStyle w:val="FirstParagraph"/>
      </w:pPr>
      <w:r>
        <w:t xml:space="preserve">Because depreciation, restructuring and asset-closure charges are substantial,</w:t>
      </w:r>
      <w:r>
        <w:t xml:space="preserve"> </w:t>
      </w:r>
      <w:r>
        <w:rPr>
          <w:b/>
          <w:bCs/>
        </w:rPr>
        <w:t xml:space="preserve">adjusted EBITDA and cash flow are more informative than headline GAAP EPS</w:t>
      </w:r>
      <w:r>
        <w:t xml:space="preserve"> </w:t>
      </w:r>
      <w:r>
        <w:t xml:space="preserve">for this report.</w:t>
      </w:r>
    </w:p>
    <w:p>
      <w:r>
        <w:pict>
          <v:rect style="width:0;height:1.5pt" o:hralign="center" o:hrstd="t" o:hr="t"/>
        </w:pict>
      </w:r>
    </w:p>
    <w:bookmarkEnd w:id="19"/>
    <w:bookmarkStart w:id="23" w:name="likely-market-reactions"/>
    <w:p>
      <w:pPr>
        <w:pStyle w:val="Heading2"/>
      </w:pPr>
      <w:r>
        <w:t xml:space="preserve">Likely market reactions</w:t>
      </w:r>
    </w:p>
    <w:bookmarkStart w:id="20" w:name="bull-case"/>
    <w:p>
      <w:pPr>
        <w:pStyle w:val="Heading3"/>
      </w:pPr>
      <w:r>
        <w:t xml:space="preserve">Bull case</w:t>
      </w:r>
    </w:p>
    <w:p>
      <w:pPr>
        <w:pStyle w:val="Compact"/>
        <w:numPr>
          <w:ilvl w:val="0"/>
          <w:numId w:val="1011"/>
        </w:numPr>
      </w:pPr>
      <w:r>
        <w:t xml:space="preserve">Adjusted EBITDA exceeds $1.2 billion.</w:t>
      </w:r>
    </w:p>
    <w:p>
      <w:pPr>
        <w:pStyle w:val="Compact"/>
        <w:numPr>
          <w:ilvl w:val="0"/>
          <w:numId w:val="1011"/>
        </w:numPr>
      </w:pPr>
      <w:r>
        <w:t xml:space="preserve">North American box volumes approach flat or turn positive.</w:t>
      </w:r>
    </w:p>
    <w:p>
      <w:pPr>
        <w:pStyle w:val="Compact"/>
        <w:numPr>
          <w:ilvl w:val="0"/>
          <w:numId w:val="1011"/>
        </w:numPr>
      </w:pPr>
      <w:r>
        <w:t xml:space="preserve">The second $50 containerboard increase is largely successful.</w:t>
      </w:r>
    </w:p>
    <w:p>
      <w:pPr>
        <w:pStyle w:val="Compact"/>
        <w:numPr>
          <w:ilvl w:val="0"/>
          <w:numId w:val="1011"/>
        </w:numPr>
      </w:pPr>
      <w:r>
        <w:t xml:space="preserve">Full-year EBITDA guidance is raised or management points toward its upper half.</w:t>
      </w:r>
    </w:p>
    <w:p>
      <w:pPr>
        <w:pStyle w:val="Compact"/>
        <w:numPr>
          <w:ilvl w:val="0"/>
          <w:numId w:val="1011"/>
        </w:numPr>
      </w:pPr>
      <w:r>
        <w:t xml:space="preserve">Energy inflation is contained by pricing and hedging.</w:t>
      </w:r>
    </w:p>
    <w:p>
      <w:pPr>
        <w:pStyle w:val="Compact"/>
        <w:numPr>
          <w:ilvl w:val="0"/>
          <w:numId w:val="1011"/>
        </w:numPr>
      </w:pPr>
      <w:r>
        <w:t xml:space="preserve">Cash flow rebounds and leverage declines.</w:t>
      </w:r>
    </w:p>
    <w:p>
      <w:pPr>
        <w:pStyle w:val="FirstParagraph"/>
      </w:pPr>
      <w:r>
        <w:t xml:space="preserve">This would validate the thesis that the North American turnaround is beginning to show up in reported earnings rather than just customer-win statistics.</w:t>
      </w:r>
    </w:p>
    <w:bookmarkEnd w:id="20"/>
    <w:bookmarkStart w:id="21" w:name="base-case"/>
    <w:p>
      <w:pPr>
        <w:pStyle w:val="Heading3"/>
      </w:pPr>
      <w:r>
        <w:t xml:space="preserve">Base case</w:t>
      </w:r>
    </w:p>
    <w:p>
      <w:pPr>
        <w:pStyle w:val="Compact"/>
        <w:numPr>
          <w:ilvl w:val="0"/>
          <w:numId w:val="1012"/>
        </w:numPr>
      </w:pPr>
      <w:r>
        <w:t xml:space="preserve">EBITDA lands around</w:t>
      </w:r>
      <w:r>
        <w:t xml:space="preserve"> </w:t>
      </w:r>
      <m:oMath>
        <m:r>
          <m:t>1.15</m:t>
        </m:r>
        <m:r>
          <m:rPr>
            <m:sty m:val="p"/>
          </m:rPr>
          <m:t>–</m:t>
        </m:r>
      </m:oMath>
      <w:r>
        <w:t xml:space="preserve">1.2 billion.</w:t>
      </w:r>
    </w:p>
    <w:p>
      <w:pPr>
        <w:pStyle w:val="Compact"/>
        <w:numPr>
          <w:ilvl w:val="0"/>
          <w:numId w:val="1012"/>
        </w:numPr>
      </w:pPr>
      <w:r>
        <w:t xml:space="preserve">Full-year guidance remains</w:t>
      </w:r>
      <w:r>
        <w:t xml:space="preserve"> </w:t>
      </w:r>
      <m:oMath>
        <m:r>
          <m:t>5.0</m:t>
        </m:r>
        <m:r>
          <m:rPr>
            <m:sty m:val="p"/>
          </m:rPr>
          <m:t>–</m:t>
        </m:r>
      </m:oMath>
      <w:r>
        <w:t xml:space="preserve">5.3 billion.</w:t>
      </w:r>
    </w:p>
    <w:p>
      <w:pPr>
        <w:pStyle w:val="Compact"/>
        <w:numPr>
          <w:ilvl w:val="0"/>
          <w:numId w:val="1012"/>
        </w:numPr>
      </w:pPr>
      <w:r>
        <w:t xml:space="preserve">North American volume declines continue to narrow.</w:t>
      </w:r>
    </w:p>
    <w:p>
      <w:pPr>
        <w:pStyle w:val="Compact"/>
        <w:numPr>
          <w:ilvl w:val="0"/>
          <w:numId w:val="1012"/>
        </w:numPr>
      </w:pPr>
      <w:r>
        <w:t xml:space="preserve">Price increases broadly offset rising costs.</w:t>
      </w:r>
    </w:p>
    <w:p>
      <w:pPr>
        <w:pStyle w:val="Compact"/>
        <w:numPr>
          <w:ilvl w:val="0"/>
          <w:numId w:val="1012"/>
        </w:numPr>
      </w:pPr>
      <w:r>
        <w:t xml:space="preserve">Management remains confident in a stronger second half.</w:t>
      </w:r>
    </w:p>
    <w:p>
      <w:pPr>
        <w:pStyle w:val="FirstParagraph"/>
      </w:pPr>
      <w:r>
        <w:t xml:space="preserve">Fundamentally acceptable, though the share-price rally means the stock’s immediate reaction could depend on the strength and specificity of the outlook.</w:t>
      </w:r>
    </w:p>
    <w:bookmarkEnd w:id="21"/>
    <w:bookmarkStart w:id="22" w:name="bear-case"/>
    <w:p>
      <w:pPr>
        <w:pStyle w:val="Heading3"/>
      </w:pPr>
      <w:r>
        <w:t xml:space="preserve">Bear case</w:t>
      </w:r>
    </w:p>
    <w:p>
      <w:pPr>
        <w:pStyle w:val="Compact"/>
        <w:numPr>
          <w:ilvl w:val="0"/>
          <w:numId w:val="1013"/>
        </w:numPr>
      </w:pPr>
      <w:r>
        <w:t xml:space="preserve">EBITDA falls near or below $1.1 billion.</w:t>
      </w:r>
    </w:p>
    <w:p>
      <w:pPr>
        <w:pStyle w:val="Compact"/>
        <w:numPr>
          <w:ilvl w:val="0"/>
          <w:numId w:val="1013"/>
        </w:numPr>
      </w:pPr>
      <w:r>
        <w:t xml:space="preserve">New-customer onboarding is slower than expected.</w:t>
      </w:r>
    </w:p>
    <w:p>
      <w:pPr>
        <w:pStyle w:val="Compact"/>
        <w:numPr>
          <w:ilvl w:val="0"/>
          <w:numId w:val="1013"/>
        </w:numPr>
      </w:pPr>
      <w:r>
        <w:t xml:space="preserve">Q2 demand included meaningful pre-buying ahead of price increases.</w:t>
      </w:r>
    </w:p>
    <w:p>
      <w:pPr>
        <w:pStyle w:val="Compact"/>
        <w:numPr>
          <w:ilvl w:val="0"/>
          <w:numId w:val="1013"/>
        </w:numPr>
      </w:pPr>
      <w:r>
        <w:t xml:space="preserve">Energy, freight or OCC inflation forces management toward the bottom of its full-year range.</w:t>
      </w:r>
    </w:p>
    <w:p>
      <w:pPr>
        <w:pStyle w:val="Compact"/>
        <w:numPr>
          <w:ilvl w:val="0"/>
          <w:numId w:val="1013"/>
        </w:numPr>
      </w:pPr>
      <w:r>
        <w:t xml:space="preserve">Cash conversion remains weak and leverage increases.</w:t>
      </w:r>
    </w:p>
    <w:p>
      <w:pPr>
        <w:pStyle w:val="FirstParagraph"/>
      </w:pPr>
      <w:r>
        <w:t xml:space="preserve">The most damaging outcome would be a Q2 miss combined with continued dependence on an increasingly aggressive Q4 ramp.</w:t>
      </w:r>
    </w:p>
    <w:p>
      <w:r>
        <w:pict>
          <v:rect style="width:0;height:1.5pt" o:hralign="center" o:hrstd="t" o:hr="t"/>
        </w:pict>
      </w:r>
    </w:p>
    <w:bookmarkEnd w:id="22"/>
    <w:bookmarkEnd w:id="23"/>
    <w:bookmarkStart w:id="24" w:name="questions-investors-should-want-answered"/>
    <w:p>
      <w:pPr>
        <w:pStyle w:val="Heading2"/>
      </w:pPr>
      <w:r>
        <w:t xml:space="preserve">Questions investors should want answered</w:t>
      </w:r>
    </w:p>
    <w:p>
      <w:pPr>
        <w:pStyle w:val="Compact"/>
        <w:numPr>
          <w:ilvl w:val="0"/>
          <w:numId w:val="1014"/>
        </w:numPr>
      </w:pPr>
      <w:r>
        <w:rPr>
          <w:b/>
          <w:bCs/>
        </w:rPr>
        <w:t xml:space="preserve">What was the monthly progression of North American corrugated volume through Q2 and July?</w:t>
      </w:r>
    </w:p>
    <w:p>
      <w:pPr>
        <w:pStyle w:val="Compact"/>
        <w:numPr>
          <w:ilvl w:val="0"/>
          <w:numId w:val="1014"/>
        </w:numPr>
      </w:pPr>
      <w:r>
        <w:rPr>
          <w:b/>
          <w:bCs/>
        </w:rPr>
        <w:t xml:space="preserve">How much of the 600-plus Q1 customer wins is now reflected in shipments?</w:t>
      </w:r>
    </w:p>
    <w:p>
      <w:pPr>
        <w:pStyle w:val="Compact"/>
        <w:numPr>
          <w:ilvl w:val="0"/>
          <w:numId w:val="1014"/>
        </w:numPr>
      </w:pPr>
      <w:r>
        <w:rPr>
          <w:b/>
          <w:bCs/>
        </w:rPr>
        <w:t xml:space="preserve">How much of the first and second North American containerboard increases has been realized?</w:t>
      </w:r>
    </w:p>
    <w:p>
      <w:pPr>
        <w:pStyle w:val="Compact"/>
        <w:numPr>
          <w:ilvl w:val="0"/>
          <w:numId w:val="1014"/>
        </w:numPr>
      </w:pPr>
      <w:r>
        <w:rPr>
          <w:b/>
          <w:bCs/>
        </w:rPr>
        <w:t xml:space="preserve">What portion of recent demand was pre-buying rather than underlying consumption?</w:t>
      </w:r>
    </w:p>
    <w:p>
      <w:pPr>
        <w:pStyle w:val="Compact"/>
        <w:numPr>
          <w:ilvl w:val="0"/>
          <w:numId w:val="1014"/>
        </w:numPr>
      </w:pPr>
      <w:r>
        <w:rPr>
          <w:b/>
          <w:bCs/>
        </w:rPr>
        <w:t xml:space="preserve">What is the revised full-year energy headwind?</w:t>
      </w:r>
    </w:p>
    <w:p>
      <w:pPr>
        <w:pStyle w:val="Compact"/>
        <w:numPr>
          <w:ilvl w:val="0"/>
          <w:numId w:val="1014"/>
        </w:numPr>
      </w:pPr>
      <w:r>
        <w:rPr>
          <w:b/>
          <w:bCs/>
        </w:rPr>
        <w:t xml:space="preserve">Can the company quantify the EBITDA bridge from first-half performance to the full-year target?</w:t>
      </w:r>
    </w:p>
    <w:p>
      <w:pPr>
        <w:pStyle w:val="Compact"/>
        <w:numPr>
          <w:ilvl w:val="0"/>
          <w:numId w:val="1014"/>
        </w:numPr>
      </w:pPr>
      <w:r>
        <w:rPr>
          <w:b/>
          <w:bCs/>
        </w:rPr>
        <w:t xml:space="preserve">When should North American corrugated volumes turn positive year over year?</w:t>
      </w:r>
    </w:p>
    <w:p>
      <w:pPr>
        <w:pStyle w:val="Compact"/>
        <w:numPr>
          <w:ilvl w:val="0"/>
          <w:numId w:val="1014"/>
        </w:numPr>
      </w:pPr>
      <w:r>
        <w:rPr>
          <w:b/>
          <w:bCs/>
        </w:rPr>
        <w:t xml:space="preserve">Is the company still expecting minimal economic downtime after Q1?</w:t>
      </w:r>
    </w:p>
    <w:p>
      <w:pPr>
        <w:pStyle w:val="Compact"/>
        <w:numPr>
          <w:ilvl w:val="0"/>
          <w:numId w:val="1014"/>
        </w:numPr>
      </w:pPr>
      <w:r>
        <w:rPr>
          <w:b/>
          <w:bCs/>
        </w:rPr>
        <w:t xml:space="preserve">How much European converting-price realization is expected in Q3 and Q4?</w:t>
      </w:r>
    </w:p>
    <w:p>
      <w:pPr>
        <w:pStyle w:val="Compact"/>
        <w:numPr>
          <w:ilvl w:val="0"/>
          <w:numId w:val="1014"/>
        </w:numPr>
      </w:pPr>
      <w:r>
        <w:rPr>
          <w:b/>
          <w:bCs/>
        </w:rPr>
        <w:t xml:space="preserve">When will operating cash flow begin to support both elevated capital spending and leverage reduction?</w:t>
      </w:r>
    </w:p>
    <w:p>
      <w:r>
        <w:pict>
          <v:rect style="width:0;height:1.5pt" o:hralign="center" o:hrstd="t" o:hr="t"/>
        </w:pict>
      </w:r>
    </w:p>
    <w:bookmarkEnd w:id="24"/>
    <w:bookmarkStart w:id="25" w:name="bottom-line"/>
    <w:p>
      <w:pPr>
        <w:pStyle w:val="Heading2"/>
      </w:pPr>
      <w:r>
        <w:t xml:space="preserve">Bottom line</w:t>
      </w:r>
    </w:p>
    <w:p>
      <w:pPr>
        <w:pStyle w:val="FirstParagraph"/>
      </w:pPr>
      <w:r>
        <w:t xml:space="preserve">The underlying industry setup entering SW’s Q2 report is favorable: supply is tight, recent peer demand has been strong and announced price increases are progressing. Q2 should also benefit from the absence of Q1’s severe weather and economic downtime.</w:t>
      </w:r>
    </w:p>
    <w:p>
      <w:pPr>
        <w:pStyle w:val="BodyText"/>
      </w:pPr>
      <w:r>
        <w:t xml:space="preserve">However, expectations have risen sharply with the stock. The report therefore needs to demonstrate more than an in-range quarterly result. Investors need evidence that</w:t>
      </w:r>
      <w:r>
        <w:t xml:space="preserve"> </w:t>
      </w:r>
      <w:r>
        <w:rPr>
          <w:b/>
          <w:bCs/>
        </w:rPr>
        <w:t xml:space="preserve">North American customer wins are becoming profitable shipments, pricing is outrunning inflation and the large second-half EBITDA ramp is achievable</w:t>
      </w:r>
      <w:r>
        <w:t xml:space="preserve">.</w:t>
      </w:r>
    </w:p>
    <w:p>
      <w:pPr>
        <w:pStyle w:val="BodyText"/>
      </w:pPr>
      <w:r>
        <w:t xml:space="preserve">The most important signal tomorrow will be management’s confidence in the</w:t>
      </w:r>
      <w:r>
        <w:t xml:space="preserve"> </w:t>
      </w:r>
      <m:oMath>
        <m:r>
          <m:t>5.0</m:t>
        </m:r>
        <m:r>
          <m:rPr>
            <m:sty m:val="p"/>
          </m:rPr>
          <m:t>–</m:t>
        </m:r>
      </m:oMath>
      <w:r>
        <w:rPr>
          <w:b/>
          <w:bCs/>
        </w:rPr>
        <w:t xml:space="preserve">5.3 billion full-year EBITDA outlook</w:t>
      </w:r>
      <w:r>
        <w:t xml:space="preserve">—and whether recent industry strength allows it to move that range higher.</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2026-07-29T00:04:57Z</dcterms:created>
  <dcterms:modified xsi:type="dcterms:W3CDTF">2026-07-29T00:04:57Z</dcterms:modified>
</cp:coreProperties>
</file>

<file path=docProps/custom.xml><?xml version="1.0" encoding="utf-8"?>
<Properties xmlns="http://schemas.openxmlformats.org/officeDocument/2006/custom-properties" xmlns:vt="http://schemas.openxmlformats.org/officeDocument/2006/docPropsVTypes"/>
</file>