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12a6eb8279ac99252fd4dd9c412c593fb5f4a3"/>
    <w:p>
      <w:pPr>
        <w:pStyle w:val="Heading1"/>
      </w:pPr>
      <w:r>
        <w:t xml:space="preserve">Smurfit WestRock (NYSE: SW) — 2Q26 Earnings Preview</w:t>
      </w:r>
    </w:p>
    <w:p>
      <w:pPr>
        <w:pStyle w:val="FirstParagraph"/>
      </w:pPr>
      <w:r>
        <w:rPr>
          <w:b/>
          <w:bCs/>
        </w:rPr>
        <w:t xml:space="preserve">Event:</w:t>
      </w:r>
      <w:r>
        <w:t xml:space="preserve"> </w:t>
      </w:r>
      <w:r>
        <w:t xml:space="preserve">Wednesday, July 29, 2026 — 2Q26 earnings call</w:t>
      </w:r>
      <w:r>
        <w:br/>
      </w:r>
      <w:r>
        <w:rPr>
          <w:b/>
          <w:bCs/>
        </w:rPr>
        <w:t xml:space="preserve">Preview date:</w:t>
      </w:r>
      <w:r>
        <w:t xml:space="preserve"> </w:t>
      </w:r>
      <w:r>
        <w:t xml:space="preserve">July 28, 2026</w:t>
      </w:r>
    </w:p>
    <w:bookmarkStart w:id="9" w:name="bottom-line"/>
    <w:p>
      <w:pPr>
        <w:pStyle w:val="Heading2"/>
      </w:pPr>
      <w:r>
        <w:t xml:space="preserve">Bottom line</w:t>
      </w:r>
    </w:p>
    <w:p>
      <w:pPr>
        <w:pStyle w:val="FirstParagraph"/>
      </w:pPr>
      <w:r>
        <w:t xml:space="preserve">Smurfit WestRock enters 2Q26 with</w:t>
      </w:r>
      <w:r>
        <w:t xml:space="preserve"> </w:t>
      </w:r>
      <w:r>
        <w:rPr>
          <w:b/>
          <w:bCs/>
        </w:rPr>
        <w:t xml:space="preserve">management’s own EBITDA guide of</w:t>
      </w:r>
      <w:r>
        <w:rPr>
          <w:b/>
          <w:bCs/>
        </w:rPr>
        <w:t xml:space="preserve"> </w:t>
      </w:r>
      <m:oMath>
        <m:r>
          <m:t>1.1</m:t>
        </m:r>
        <m:r>
          <m:rPr>
            <m:sty m:val="p"/>
          </m:rPr>
          <m:t>–</m:t>
        </m:r>
      </m:oMath>
      <w:r>
        <w:rPr>
          <w:b/>
          <w:bCs/>
        </w:rPr>
        <w:t xml:space="preserve">1.2 billion</w:t>
      </w:r>
      <w:r>
        <w:t xml:space="preserve">, putting the immediate focus less on the reported quarter and more on whether the company can validate a materially better second-half setup. The key ingredients are in place: North American paper demand and order books improved sharply in April, containerboard price increases were announced and began to flow through, economic downtime should be materially lower than in 1Q, and EMEA pricing is beginning to catch up with higher energy costs.</w:t>
      </w:r>
    </w:p>
    <w:p>
      <w:pPr>
        <w:pStyle w:val="BodyText"/>
      </w:pPr>
      <w:r>
        <w:t xml:space="preserve">However, the stock has already moved meaningfully. SW closed at</w:t>
      </w:r>
      <w:r>
        <w:t xml:space="preserve"> </w:t>
      </w:r>
      <m:oMath>
        <m:r>
          <m:t>50.82</m:t>
        </m:r>
        <m:r>
          <m:t>o</m:t>
        </m:r>
        <m:r>
          <m:t>n</m:t>
        </m:r>
        <m:r>
          <m:t>J</m:t>
        </m:r>
        <m:r>
          <m:t>u</m:t>
        </m:r>
        <m:r>
          <m:t>l</m:t>
        </m:r>
        <m:r>
          <m:t>y</m:t>
        </m:r>
        <m:r>
          <m:t>28</m:t>
        </m:r>
        <m:r>
          <m:rPr>
            <m:sty m:val="p"/>
          </m:rPr>
          <m:t>*</m:t>
        </m:r>
        <m:r>
          <m:rPr>
            <m:sty m:val="p"/>
          </m:rPr>
          <m:t>*</m:t>
        </m:r>
        <m:r>
          <m:rPr>
            <m:sty m:val="p"/>
          </m:rPr>
          <m:t>,</m:t>
        </m:r>
        <m:r>
          <m:t>u</m:t>
        </m:r>
        <m:r>
          <m:t>p</m:t>
        </m:r>
        <m:r>
          <m:rPr>
            <m:sty m:val="p"/>
          </m:rPr>
          <m:t>*</m:t>
        </m:r>
        <m:r>
          <m:rPr>
            <m:sty m:val="p"/>
          </m:rPr>
          <m:t>*</m:t>
        </m:r>
        <m:r>
          <m:t>32</m:t>
        </m:r>
      </m:oMath>
      <w:r>
        <w:rPr>
          <w:b/>
          <w:bCs/>
        </w:rPr>
        <w:t xml:space="preserve">5.0–$5.3 billion FY26 adjusted EBITDA</w:t>
      </w:r>
      <w:r>
        <w:t xml:space="preserve"> </w:t>
      </w:r>
      <w:r>
        <w:t xml:space="preserve">outlook.</w:t>
      </w:r>
    </w:p>
    <w:bookmarkEnd w:id="9"/>
    <w:bookmarkStart w:id="10" w:name="X7241bca0c17a36a7eae2843acc2d00d9ecf4b9e"/>
    <w:p>
      <w:pPr>
        <w:pStyle w:val="Heading2"/>
      </w:pPr>
      <w:r>
        <w:t xml:space="preserve">The setup: guided 2Q improvement, but a tougher year-over-year comparison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 in billions, except margins</w:t>
            </w:r>
          </w:p>
        </w:tc>
        <w:tc>
          <w:tcPr/>
          <w:p>
            <w:pPr>
              <w:pStyle w:val="Compact"/>
              <w:jc w:val="right"/>
            </w:pPr>
            <w:r>
              <w:t xml:space="preserve">1Q26 actual</w:t>
            </w:r>
          </w:p>
        </w:tc>
        <w:tc>
          <w:tcPr/>
          <w:p>
            <w:pPr>
              <w:pStyle w:val="Compact"/>
              <w:jc w:val="right"/>
            </w:pPr>
            <w:r>
              <w:t xml:space="preserve">2Q26 management outlook</w:t>
            </w:r>
          </w:p>
        </w:tc>
        <w:tc>
          <w:tcPr/>
          <w:p>
            <w:pPr>
              <w:pStyle w:val="Compact"/>
              <w:jc w:val="right"/>
            </w:pPr>
            <w:r>
              <w:t xml:space="preserve">2Q25 actual</w:t>
            </w:r>
          </w:p>
        </w:tc>
      </w:tr>
      <w:tr>
        <w:tc>
          <w:tcPr/>
          <w:p>
            <w:pPr>
              <w:pStyle w:val="Compact"/>
            </w:pPr>
            <w:r>
              <w:t xml:space="preserve">Net sales</w:t>
            </w:r>
          </w:p>
        </w:tc>
        <w:tc>
          <w:tcPr/>
          <w:p>
            <w:pPr>
              <w:pStyle w:val="Compact"/>
              <w:jc w:val="right"/>
            </w:pPr>
            <w:r>
              <w:t xml:space="preserve">$7.71</w:t>
            </w:r>
          </w:p>
        </w:tc>
        <w:tc>
          <w:tcPr/>
          <w:p>
            <w:pPr>
              <w:pStyle w:val="Compact"/>
              <w:jc w:val="right"/>
            </w:pPr>
            <w:r>
              <w:t xml:space="preserve">—</w:t>
            </w:r>
          </w:p>
        </w:tc>
        <w:tc>
          <w:tcPr/>
          <w:p>
            <w:pPr>
              <w:pStyle w:val="Compact"/>
              <w:jc w:val="right"/>
            </w:pPr>
            <w:r>
              <w:t xml:space="preserve">$7.94</w:t>
            </w:r>
          </w:p>
        </w:tc>
      </w:tr>
      <w:tr>
        <w:tc>
          <w:tcPr/>
          <w:p>
            <w:pPr>
              <w:pStyle w:val="Compact"/>
            </w:pPr>
            <w:r>
              <w:t xml:space="preserve">Adjusted EBITDA</w:t>
            </w:r>
          </w:p>
        </w:tc>
        <w:tc>
          <w:tcPr/>
          <w:p>
            <w:pPr>
              <w:pStyle w:val="Compact"/>
              <w:jc w:val="right"/>
            </w:pPr>
            <w:r>
              <w:t xml:space="preserve">$1.08</w:t>
            </w:r>
          </w:p>
        </w:tc>
        <w:tc>
          <w:tcPr/>
          <w:p>
            <w:pPr>
              <w:pStyle w:val="Compact"/>
              <w:jc w:val="right"/>
            </w:pPr>
            <m:oMath>
              <m:r>
                <m:t>1.10</m:t>
              </m:r>
              <m:r>
                <m:rPr>
                  <m:sty m:val="p"/>
                </m:rPr>
                <m:t>–</m:t>
              </m:r>
            </m:oMath>
            <w:r>
              <w:rPr>
                <w:b/>
                <w:bCs/>
              </w:rPr>
              <w:t xml:space="preserve">1.20</w:t>
            </w:r>
          </w:p>
        </w:tc>
        <w:tc>
          <w:tcPr/>
          <w:p>
            <w:pPr>
              <w:pStyle w:val="Compact"/>
              <w:jc w:val="right"/>
            </w:pPr>
            <w:r>
              <w:t xml:space="preserve">$1.21</w:t>
            </w:r>
          </w:p>
        </w:tc>
      </w:tr>
      <w:tr>
        <w:tc>
          <w:tcPr/>
          <w:p>
            <w:pPr>
              <w:pStyle w:val="Compact"/>
            </w:pPr>
            <w:r>
              <w:t xml:space="preserve">Adjusted EBITDA margin</w:t>
            </w:r>
          </w:p>
        </w:tc>
        <w:tc>
          <w:tcPr/>
          <w:p>
            <w:pPr>
              <w:pStyle w:val="Compact"/>
              <w:jc w:val="right"/>
            </w:pPr>
            <w:r>
              <w:t xml:space="preserve">14.0%</w:t>
            </w:r>
          </w:p>
        </w:tc>
        <w:tc>
          <w:tcPr/>
          <w:p>
            <w:pPr>
              <w:pStyle w:val="Compact"/>
              <w:jc w:val="right"/>
            </w:pPr>
            <w:r>
              <w:t xml:space="preserve">—</w:t>
            </w:r>
          </w:p>
        </w:tc>
        <w:tc>
          <w:tcPr/>
          <w:p>
            <w:pPr>
              <w:pStyle w:val="Compact"/>
              <w:jc w:val="right"/>
            </w:pPr>
            <w:r>
              <w:t xml:space="preserve">15.3%</w:t>
            </w:r>
          </w:p>
        </w:tc>
      </w:tr>
    </w:tbl>
    <w:p>
      <w:pPr>
        <w:pStyle w:val="BodyText"/>
      </w:pPr>
      <w:r>
        <w:t xml:space="preserve">At the midpoint of guidance, 2Q adjusted EBITDA would be about</w:t>
      </w:r>
      <w:r>
        <w:t xml:space="preserve"> </w:t>
      </w:r>
      <w:r>
        <w:rPr>
          <w:b/>
          <w:bCs/>
        </w:rPr>
        <w:t xml:space="preserve">$1.15 billion</w:t>
      </w:r>
      <w:r>
        <w:t xml:space="preserve">:</w:t>
      </w:r>
    </w:p>
    <w:p>
      <w:pPr>
        <w:pStyle w:val="Compact"/>
        <w:numPr>
          <w:ilvl w:val="0"/>
          <w:numId w:val="1001"/>
        </w:numPr>
      </w:pPr>
      <w:r>
        <w:rPr>
          <w:b/>
          <w:bCs/>
        </w:rPr>
        <w:t xml:space="preserve">Up ~7% sequentially</w:t>
      </w:r>
      <w:r>
        <w:t xml:space="preserve"> </w:t>
      </w:r>
      <w:r>
        <w:t xml:space="preserve">from 1Q26’s weather-affected $1.076 billion.</w:t>
      </w:r>
    </w:p>
    <w:p>
      <w:pPr>
        <w:pStyle w:val="Compact"/>
        <w:numPr>
          <w:ilvl w:val="0"/>
          <w:numId w:val="1001"/>
        </w:numPr>
      </w:pPr>
      <w:r>
        <w:rPr>
          <w:b/>
          <w:bCs/>
        </w:rPr>
        <w:t xml:space="preserve">Down ~5% year over year</w:t>
      </w:r>
      <w:r>
        <w:t xml:space="preserve"> </w:t>
      </w:r>
      <w:r>
        <w:t xml:space="preserve">versus 2Q25’s $1.213 billion.</w:t>
      </w:r>
    </w:p>
    <w:p>
      <w:pPr>
        <w:pStyle w:val="Compact"/>
        <w:numPr>
          <w:ilvl w:val="0"/>
          <w:numId w:val="1001"/>
        </w:numPr>
      </w:pPr>
      <w:r>
        <w:t xml:space="preserve">Still below the 2Q25 margin outcome, implying that the recovery story remains more about the</w:t>
      </w:r>
      <w:r>
        <w:t xml:space="preserve"> </w:t>
      </w:r>
      <w:r>
        <w:rPr>
          <w:b/>
          <w:bCs/>
        </w:rPr>
        <w:t xml:space="preserve">trajectory into 2H26</w:t>
      </w:r>
      <w:r>
        <w:t xml:space="preserve"> </w:t>
      </w:r>
      <w:r>
        <w:t xml:space="preserve">than a full near-term margin restoration.</w:t>
      </w:r>
    </w:p>
    <w:p>
      <w:pPr>
        <w:pStyle w:val="FirstParagraph"/>
      </w:pPr>
      <w:r>
        <w:t xml:space="preserve">The bridge matters. In 1Q, adverse weather reduced EBITDA by roughly</w:t>
      </w:r>
      <w:r>
        <w:t xml:space="preserve"> </w:t>
      </w:r>
      <m:oMath>
        <m:r>
          <m:t>65</m:t>
        </m:r>
        <m:r>
          <m:t>m</m:t>
        </m:r>
        <m:r>
          <m:t>i</m:t>
        </m:r>
        <m:r>
          <m:t>l</m:t>
        </m:r>
        <m:r>
          <m:t>l</m:t>
        </m:r>
        <m:r>
          <m:t>i</m:t>
        </m:r>
        <m:r>
          <m:t>o</m:t>
        </m:r>
        <m:r>
          <m:t>n</m:t>
        </m:r>
        <m:r>
          <m:rPr>
            <m:sty m:val="p"/>
          </m:rPr>
          <m:t>*</m:t>
        </m:r>
        <m:r>
          <m:rPr>
            <m:sty m:val="p"/>
          </m:rPr>
          <m:t>*</m:t>
        </m:r>
        <m:r>
          <m:rPr>
            <m:sty m:val="p"/>
          </m:rPr>
          <m:t>,</m:t>
        </m:r>
        <m:r>
          <m:t>w</m:t>
        </m:r>
        <m:r>
          <m:t>h</m:t>
        </m:r>
        <m:r>
          <m:t>i</m:t>
        </m:r>
        <m:r>
          <m:t>l</m:t>
        </m:r>
        <m:r>
          <m:t>e</m:t>
        </m:r>
        <m:r>
          <m:t>N</m:t>
        </m:r>
        <m:r>
          <m:t>o</m:t>
        </m:r>
        <m:r>
          <m:t>r</m:t>
        </m:r>
        <m:r>
          <m:t>t</m:t>
        </m:r>
        <m:r>
          <m:t>h</m:t>
        </m:r>
        <m:r>
          <m:t>A</m:t>
        </m:r>
        <m:r>
          <m:t>m</m:t>
        </m:r>
        <m:r>
          <m:t>e</m:t>
        </m:r>
        <m:r>
          <m:t>r</m:t>
        </m:r>
        <m:r>
          <m:t>i</m:t>
        </m:r>
        <m:r>
          <m:t>c</m:t>
        </m:r>
        <m:r>
          <m:t>a</m:t>
        </m:r>
        <m:r>
          <m:t>n</m:t>
        </m:r>
        <m:r>
          <m:t>e</m:t>
        </m:r>
        <m:r>
          <m:t>c</m:t>
        </m:r>
        <m:r>
          <m:t>o</m:t>
        </m:r>
        <m:r>
          <m:t>n</m:t>
        </m:r>
        <m:r>
          <m:t>o</m:t>
        </m:r>
        <m:r>
          <m:t>m</m:t>
        </m:r>
        <m:r>
          <m:t>i</m:t>
        </m:r>
        <m:r>
          <m:t>c</m:t>
        </m:r>
        <m:r>
          <m:t>d</m:t>
        </m:r>
        <m:r>
          <m:t>o</m:t>
        </m:r>
        <m:r>
          <m:t>w</m:t>
        </m:r>
        <m:r>
          <m:t>n</m:t>
        </m:r>
        <m:r>
          <m:t>t</m:t>
        </m:r>
        <m:r>
          <m:t>i</m:t>
        </m:r>
        <m:r>
          <m:t>m</m:t>
        </m:r>
        <m:r>
          <m:t>e</m:t>
        </m:r>
        <m:r>
          <m:t>c</m:t>
        </m:r>
        <m:r>
          <m:t>o</m:t>
        </m:r>
        <m:r>
          <m:t>s</m:t>
        </m:r>
        <m:r>
          <m:t>t</m:t>
        </m:r>
        <m:r>
          <m:rPr>
            <m:sty m:val="p"/>
          </m:rPr>
          <m:t>*</m:t>
        </m:r>
        <m:r>
          <m:rPr>
            <m:sty m:val="p"/>
          </m:rPr>
          <m:t>*</m:t>
        </m:r>
      </m:oMath>
      <w:r>
        <w:rPr>
          <w:b/>
          <w:bCs/>
        </w:rPr>
        <w:t xml:space="preserve">74 million</w:t>
      </w:r>
      <w:r>
        <w:t xml:space="preserve">. Management said it did not anticipate material downtime in 2Q; that is an important earnings tailwind. Conversely, energy, freight, and recovered-fiber costs were rising.</w:t>
      </w:r>
    </w:p>
    <w:bookmarkEnd w:id="10"/>
    <w:bookmarkStart w:id="11" w:name="X9002d76b2f0cb9a4c338356170891dbf95edf50"/>
    <w:p>
      <w:pPr>
        <w:pStyle w:val="Heading2"/>
      </w:pPr>
      <w:r>
        <w:t xml:space="preserve">The central investment question: is the second-half inflection real?</w:t>
      </w:r>
    </w:p>
    <w:p>
      <w:pPr>
        <w:pStyle w:val="FirstParagraph"/>
      </w:pPr>
      <w:r>
        <w:t xml:space="preserve">Management has kept its</w:t>
      </w:r>
      <w:r>
        <w:t xml:space="preserve"> </w:t>
      </w:r>
      <w:r>
        <w:rPr>
          <w:b/>
          <w:bCs/>
        </w:rPr>
        <w:t xml:space="preserve">FY26 adjusted EBITDA outlook at</w:t>
      </w:r>
      <w:r>
        <w:rPr>
          <w:b/>
          <w:bCs/>
        </w:rPr>
        <w:t xml:space="preserve"> </w:t>
      </w:r>
      <m:oMath>
        <m:r>
          <m:t>5.0</m:t>
        </m:r>
        <m:r>
          <m:rPr>
            <m:sty m:val="p"/>
          </m:rPr>
          <m:t>–</m:t>
        </m:r>
      </m:oMath>
      <w:r>
        <w:rPr>
          <w:b/>
          <w:bCs/>
        </w:rPr>
        <w:t xml:space="preserve">5.3 billion</w:t>
      </w:r>
      <w:r>
        <w:t xml:space="preserve">. Assuming a 2Q midpoint of</w:t>
      </w:r>
      <w:r>
        <w:t xml:space="preserve"> </w:t>
      </w:r>
      <m:oMath>
        <m:r>
          <m:t>1.15</m:t>
        </m:r>
        <m:r>
          <m:t>b</m:t>
        </m:r>
        <m:r>
          <m:t>i</m:t>
        </m:r>
        <m:r>
          <m:t>l</m:t>
        </m:r>
        <m:r>
          <m:t>l</m:t>
        </m:r>
        <m:r>
          <m:t>i</m:t>
        </m:r>
        <m:r>
          <m:t>o</m:t>
        </m:r>
        <m:r>
          <m:t>n</m:t>
        </m:r>
        <m:r>
          <m:rPr>
            <m:sty m:val="p"/>
          </m:rPr>
          <m:t>,</m:t>
        </m:r>
        <m:r>
          <m:t>f</m:t>
        </m:r>
        <m:r>
          <m:t>i</m:t>
        </m:r>
        <m:r>
          <m:t>r</m:t>
        </m:r>
        <m:r>
          <m:t>s</m:t>
        </m:r>
        <m:r>
          <m:t>t</m:t>
        </m:r>
        <m:r>
          <m:rPr>
            <m:sty m:val="p"/>
          </m:rPr>
          <m:t>−</m:t>
        </m:r>
        <m:r>
          <m:t>h</m:t>
        </m:r>
        <m:r>
          <m:t>a</m:t>
        </m:r>
        <m:r>
          <m:t>l</m:t>
        </m:r>
        <m:r>
          <m:t>f</m:t>
        </m:r>
        <m:r>
          <m:t>E</m:t>
        </m:r>
        <m:r>
          <m:t>B</m:t>
        </m:r>
        <m:r>
          <m:t>I</m:t>
        </m:r>
        <m:r>
          <m:t>T</m:t>
        </m:r>
        <m:r>
          <m:t>D</m:t>
        </m:r>
        <m:r>
          <m:t>A</m:t>
        </m:r>
        <m:r>
          <m:t>w</m:t>
        </m:r>
        <m:r>
          <m:t>o</m:t>
        </m:r>
        <m:r>
          <m:t>u</m:t>
        </m:r>
        <m:r>
          <m:t>l</m:t>
        </m:r>
        <m:r>
          <m:t>d</m:t>
        </m:r>
        <m:r>
          <m:t>b</m:t>
        </m:r>
        <m:r>
          <m:t>e</m:t>
        </m:r>
        <m:r>
          <m:t>a</m:t>
        </m:r>
        <m:r>
          <m:t>b</m:t>
        </m:r>
        <m:r>
          <m:t>o</m:t>
        </m:r>
        <m:r>
          <m:t>u</m:t>
        </m:r>
        <m:r>
          <m:t>t</m:t>
        </m:r>
        <m:r>
          <m:rPr>
            <m:sty m:val="p"/>
          </m:rPr>
          <m:t>*</m:t>
        </m:r>
        <m:r>
          <m:rPr>
            <m:sty m:val="p"/>
          </m:rPr>
          <m:t>*</m:t>
        </m:r>
      </m:oMath>
      <w:r>
        <w:t xml:space="preserve">2.23 billion**. That would require approximately</w:t>
      </w:r>
      <w:r>
        <w:t xml:space="preserve"> </w:t>
      </w:r>
      <m:oMath>
        <m:r>
          <m:t>2.77</m:t>
        </m:r>
        <m:r>
          <m:rPr>
            <m:sty m:val="p"/>
          </m:rPr>
          <m:t>–</m:t>
        </m:r>
      </m:oMath>
      <w:r>
        <w:rPr>
          <w:b/>
          <w:bCs/>
        </w:rPr>
        <w:t xml:space="preserve">3.07 billion in 2H26</w:t>
      </w:r>
      <w:r>
        <w:t xml:space="preserve">, versus roughly</w:t>
      </w:r>
      <w:r>
        <w:t xml:space="preserve"> </w:t>
      </w:r>
      <w:r>
        <w:rPr>
          <w:b/>
          <w:bCs/>
        </w:rPr>
        <w:t xml:space="preserve">$2.64 billion in 2H25</w:t>
      </w:r>
      <w:r>
        <w:t xml:space="preserve">.</w:t>
      </w:r>
    </w:p>
    <w:p>
      <w:pPr>
        <w:pStyle w:val="BodyText"/>
      </w:pPr>
      <w:r>
        <w:t xml:space="preserve">In other words, the full-year range implicitly requires:</w:t>
      </w:r>
    </w:p>
    <w:p>
      <w:pPr>
        <w:pStyle w:val="Compact"/>
        <w:numPr>
          <w:ilvl w:val="0"/>
          <w:numId w:val="1002"/>
        </w:numPr>
      </w:pPr>
      <w:r>
        <w:t xml:space="preserve">A</w:t>
      </w:r>
      <w:r>
        <w:t xml:space="preserve"> </w:t>
      </w:r>
      <w:r>
        <w:rPr>
          <w:b/>
          <w:bCs/>
        </w:rPr>
        <w:t xml:space="preserve">stronger second half</w:t>
      </w:r>
      <w:r>
        <w:t xml:space="preserve">, driven by price realization, volume improvement, lower downtime, and ongoing cost actions.</w:t>
      </w:r>
    </w:p>
    <w:p>
      <w:pPr>
        <w:pStyle w:val="Compact"/>
        <w:numPr>
          <w:ilvl w:val="0"/>
          <w:numId w:val="1002"/>
        </w:numPr>
      </w:pPr>
      <w:r>
        <w:t xml:space="preserve">Results in the lower end of the full-year range to be achievable with modest 2H growth; the upper end requires a more decisive step-up in earnings.</w:t>
      </w:r>
    </w:p>
    <w:p>
      <w:pPr>
        <w:pStyle w:val="Compact"/>
        <w:numPr>
          <w:ilvl w:val="0"/>
          <w:numId w:val="1002"/>
        </w:numPr>
      </w:pPr>
      <w:r>
        <w:t xml:space="preserve">Management to demonstrate that the momentum it described in April has persisted through June and July.</w:t>
      </w:r>
    </w:p>
    <w:p>
      <w:pPr>
        <w:pStyle w:val="FirstParagraph"/>
      </w:pPr>
      <w:r>
        <w:t xml:space="preserve">The report therefore needs to answer whether the company is seeing a temporary restocking/pre-buy effect ahead of price increases—or a more durable improvement in underlying demand and operating conditions.</w:t>
      </w:r>
    </w:p>
    <w:bookmarkEnd w:id="11"/>
    <w:bookmarkStart w:id="17" w:name="what-investors-should-watch"/>
    <w:p>
      <w:pPr>
        <w:pStyle w:val="Heading2"/>
      </w:pPr>
      <w:r>
        <w:t xml:space="preserve">What investors should watch</w:t>
      </w:r>
    </w:p>
    <w:bookmarkStart w:id="12" w:name="X5c268cf3ebe82762e2c42d66c1d20c2e6273716"/>
    <w:p>
      <w:pPr>
        <w:pStyle w:val="Heading3"/>
      </w:pPr>
      <w:r>
        <w:t xml:space="preserve">1. North America: price realization and the box-volume recovery</w:t>
      </w:r>
    </w:p>
    <w:p>
      <w:pPr>
        <w:pStyle w:val="FirstParagraph"/>
      </w:pPr>
      <w:r>
        <w:t xml:space="preserve">North America remains the largest earnings opportunity and the most important swing factor. In 1Q26, segment adjusted EBITDA was</w:t>
      </w:r>
      <w:r>
        <w:t xml:space="preserve"> </w:t>
      </w:r>
      <m:oMath>
        <m:r>
          <m:t>597</m:t>
        </m:r>
        <m:r>
          <m:t>m</m:t>
        </m:r>
        <m:r>
          <m:t>i</m:t>
        </m:r>
        <m:r>
          <m:t>l</m:t>
        </m:r>
        <m:r>
          <m:t>l</m:t>
        </m:r>
        <m:r>
          <m:t>i</m:t>
        </m:r>
        <m:r>
          <m:t>o</m:t>
        </m:r>
        <m:r>
          <m:t>n</m:t>
        </m:r>
        <m:r>
          <m:rPr>
            <m:sty m:val="p"/>
          </m:rPr>
          <m:t>*</m:t>
        </m:r>
        <m:r>
          <m:rPr>
            <m:sty m:val="p"/>
          </m:rPr>
          <m:t>*</m:t>
        </m:r>
        <m:r>
          <m:rPr>
            <m:sty m:val="p"/>
          </m:rPr>
          <m:t>,</m:t>
        </m:r>
        <m:r>
          <m:t>d</m:t>
        </m:r>
        <m:r>
          <m:t>o</m:t>
        </m:r>
        <m:r>
          <m:t>w</m:t>
        </m:r>
        <m:r>
          <m:t>n</m:t>
        </m:r>
        <m:r>
          <m:t>f</m:t>
        </m:r>
        <m:r>
          <m:t>r</m:t>
        </m:r>
        <m:r>
          <m:t>o</m:t>
        </m:r>
        <m:r>
          <m:t>m</m:t>
        </m:r>
        <m:r>
          <m:rPr>
            <m:sty m:val="p"/>
          </m:rPr>
          <m:t>*</m:t>
        </m:r>
        <m:r>
          <m:rPr>
            <m:sty m:val="p"/>
          </m:rPr>
          <m:t>*</m:t>
        </m:r>
      </m:oMath>
      <w:r>
        <w:rPr>
          <w:b/>
          <w:bCs/>
        </w:rPr>
        <w:t xml:space="preserve">785 million</w:t>
      </w:r>
      <w:r>
        <w:t xml:space="preserve"> </w:t>
      </w:r>
      <w:r>
        <w:t xml:space="preserve">a year earlier, with a</w:t>
      </w:r>
      <w:r>
        <w:t xml:space="preserve"> </w:t>
      </w:r>
      <w:r>
        <w:rPr>
          <w:b/>
          <w:bCs/>
        </w:rPr>
        <w:t xml:space="preserve">13.3% margin</w:t>
      </w:r>
      <w:r>
        <w:t xml:space="preserve">. The pressure came from weather, downtime, weaker volumes, higher freight, and higher energy costs.</w:t>
      </w:r>
    </w:p>
    <w:p>
      <w:pPr>
        <w:pStyle w:val="BodyText"/>
      </w:pPr>
      <w:r>
        <w:t xml:space="preserve">The encouraging commentary heading into 2Q was substantial:</w:t>
      </w:r>
    </w:p>
    <w:p>
      <w:pPr>
        <w:pStyle w:val="Compact"/>
        <w:numPr>
          <w:ilvl w:val="0"/>
          <w:numId w:val="1003"/>
        </w:numPr>
      </w:pPr>
      <w:r>
        <w:t xml:space="preserve">Management said North American paper grades were effectively</w:t>
      </w:r>
      <w:r>
        <w:t xml:space="preserve"> </w:t>
      </w:r>
      <w:r>
        <w:rPr>
          <w:b/>
          <w:bCs/>
        </w:rPr>
        <w:t xml:space="preserve">sold out</w:t>
      </w:r>
      <w:r>
        <w:t xml:space="preserve"> </w:t>
      </w:r>
      <w:r>
        <w:t xml:space="preserve">by April.</w:t>
      </w:r>
    </w:p>
    <w:p>
      <w:pPr>
        <w:pStyle w:val="Compact"/>
        <w:numPr>
          <w:ilvl w:val="0"/>
          <w:numId w:val="1003"/>
        </w:numPr>
      </w:pPr>
      <w:r>
        <w:t xml:space="preserve">It cited strengthening order books across paper and converting products.</w:t>
      </w:r>
    </w:p>
    <w:p>
      <w:pPr>
        <w:pStyle w:val="Compact"/>
        <w:numPr>
          <w:ilvl w:val="0"/>
          <w:numId w:val="1003"/>
        </w:numPr>
      </w:pPr>
      <w:r>
        <w:t xml:space="preserve">The company reported more than</w:t>
      </w:r>
      <w:r>
        <w:t xml:space="preserve"> </w:t>
      </w:r>
      <w:r>
        <w:rPr>
          <w:b/>
          <w:bCs/>
        </w:rPr>
        <w:t xml:space="preserve">600 new corrugated customers</w:t>
      </w:r>
      <w:r>
        <w:t xml:space="preserve"> </w:t>
      </w:r>
      <w:r>
        <w:t xml:space="preserve">in 1Q, with new-customer volume in April reportedly up about</w:t>
      </w:r>
      <w:r>
        <w:t xml:space="preserve"> </w:t>
      </w:r>
      <w:r>
        <w:rPr>
          <w:b/>
          <w:bCs/>
        </w:rPr>
        <w:t xml:space="preserve">30% from March</w:t>
      </w:r>
      <w:r>
        <w:t xml:space="preserve">.</w:t>
      </w:r>
    </w:p>
    <w:p>
      <w:pPr>
        <w:pStyle w:val="Compact"/>
        <w:numPr>
          <w:ilvl w:val="0"/>
          <w:numId w:val="1003"/>
        </w:numPr>
      </w:pPr>
      <w:r>
        <w:t xml:space="preserve">North American corrugated volumes were still down in April, but the rate of decline had improved from the 1Q trend.</w:t>
      </w:r>
    </w:p>
    <w:p>
      <w:pPr>
        <w:pStyle w:val="Compact"/>
        <w:numPr>
          <w:ilvl w:val="0"/>
          <w:numId w:val="1003"/>
        </w:numPr>
      </w:pPr>
      <w:r>
        <w:t xml:space="preserve">Management expected the first containerboard price increase to be fully implemented by</w:t>
      </w:r>
      <w:r>
        <w:t xml:space="preserve"> </w:t>
      </w:r>
      <w:r>
        <w:rPr>
          <w:b/>
          <w:bCs/>
        </w:rPr>
        <w:t xml:space="preserve">July 1</w:t>
      </w:r>
      <w:r>
        <w:t xml:space="preserve">; a subsequent announced increase, if successful, was expected to be implemented by around September.</w:t>
      </w:r>
    </w:p>
    <w:p>
      <w:pPr>
        <w:pStyle w:val="FirstParagraph"/>
      </w:pPr>
      <w:r>
        <w:rPr>
          <w:b/>
          <w:bCs/>
        </w:rPr>
        <w:t xml:space="preserve">What would be constructive:</w:t>
      </w:r>
      <w:r>
        <w:t xml:space="preserve"> </w:t>
      </w:r>
      <w:r>
        <w:t xml:space="preserve">evidence that new-customer wins are translating into shipments, box volumes are approaching flat or better, and price realization is beginning to offset cost inflation.</w:t>
      </w:r>
    </w:p>
    <w:p>
      <w:pPr>
        <w:pStyle w:val="BodyText"/>
      </w:pPr>
      <w:r>
        <w:rPr>
          <w:b/>
          <w:bCs/>
        </w:rPr>
        <w:t xml:space="preserve">What would disappoint:</w:t>
      </w:r>
      <w:r>
        <w:t xml:space="preserve"> </w:t>
      </w:r>
      <w:r>
        <w:t xml:space="preserve">commentary that demand strength was primarily pre-buying, a weaker-than-expected pace of box-volume recovery, or continued operational reliability issues in the mill and converting system.</w:t>
      </w:r>
    </w:p>
    <w:bookmarkEnd w:id="12"/>
    <w:bookmarkStart w:id="13" w:name="X99bad614fdf1d0efc18e2472ea643565f194c3b"/>
    <w:p>
      <w:pPr>
        <w:pStyle w:val="Heading3"/>
      </w:pPr>
      <w:r>
        <w:t xml:space="preserve">2. Price/cost: can pricing outrun energy and freight?</w:t>
      </w:r>
    </w:p>
    <w:p>
      <w:pPr>
        <w:pStyle w:val="FirstParagraph"/>
      </w:pPr>
      <w:r>
        <w:t xml:space="preserve">The key nuance in the quarter is that better pricing is occurring alongside renewed input-cost pressure.</w:t>
      </w:r>
    </w:p>
    <w:p>
      <w:pPr>
        <w:pStyle w:val="BodyText"/>
      </w:pPr>
      <w:r>
        <w:t xml:space="preserve">At the 1Q call, management raised its expected</w:t>
      </w:r>
      <w:r>
        <w:t xml:space="preserve"> </w:t>
      </w:r>
      <w:r>
        <w:rPr>
          <w:b/>
          <w:bCs/>
        </w:rPr>
        <w:t xml:space="preserve">FY26 energy-cost headwind to roughly</w:t>
      </w:r>
      <w:r>
        <w:rPr>
          <w:b/>
          <w:bCs/>
        </w:rPr>
        <w:t xml:space="preserve"> </w:t>
      </w:r>
      <m:oMath>
        <m:r>
          <m:t>270</m:t>
        </m:r>
        <m:r>
          <m:rPr>
            <m:sty m:val="p"/>
          </m:rPr>
          <m:t>–</m:t>
        </m:r>
      </m:oMath>
      <w:r>
        <w:rPr>
          <w:b/>
          <w:bCs/>
        </w:rPr>
        <w:t xml:space="preserve">290 million</w:t>
      </w:r>
      <w:r>
        <w:t xml:space="preserve">, from approximately $80 million previously. It also indicated:</w:t>
      </w:r>
    </w:p>
    <w:p>
      <w:pPr>
        <w:pStyle w:val="Compact"/>
        <w:numPr>
          <w:ilvl w:val="0"/>
          <w:numId w:val="1004"/>
        </w:numPr>
      </w:pPr>
      <w:r>
        <w:t xml:space="preserve">Freight could be about a</w:t>
      </w:r>
      <w:r>
        <w:t xml:space="preserve"> </w:t>
      </w:r>
      <w:r>
        <w:rPr>
          <w:b/>
          <w:bCs/>
        </w:rPr>
        <w:t xml:space="preserve">$50 million full-year headwind</w:t>
      </w:r>
      <w:r>
        <w:t xml:space="preserve">.</w:t>
      </w:r>
    </w:p>
    <w:p>
      <w:pPr>
        <w:pStyle w:val="Compact"/>
        <w:numPr>
          <w:ilvl w:val="0"/>
          <w:numId w:val="1004"/>
        </w:numPr>
      </w:pPr>
      <w:r>
        <w:t xml:space="preserve">Recovered fiber would be higher in 2Q.</w:t>
      </w:r>
    </w:p>
    <w:p>
      <w:pPr>
        <w:pStyle w:val="Compact"/>
        <w:numPr>
          <w:ilvl w:val="0"/>
          <w:numId w:val="1004"/>
        </w:numPr>
      </w:pPr>
      <w:r>
        <w:t xml:space="preserve">Labor inflation was moderating relative to the original outlook due to projects, labor actions, and rationalizations.</w:t>
      </w:r>
    </w:p>
    <w:p>
      <w:pPr>
        <w:pStyle w:val="Compact"/>
        <w:numPr>
          <w:ilvl w:val="0"/>
          <w:numId w:val="1004"/>
        </w:numPr>
      </w:pPr>
      <w:r>
        <w:t xml:space="preserve">Lower downtime was expected to offer a meaningful 2Q offset.</w:t>
      </w:r>
    </w:p>
    <w:p>
      <w:pPr>
        <w:pStyle w:val="FirstParagraph"/>
      </w:pPr>
      <w:r>
        <w:t xml:space="preserve">The investment debate is not whether paper pricing has improved—it has—but</w:t>
      </w:r>
      <w:r>
        <w:t xml:space="preserve"> </w:t>
      </w:r>
      <w:r>
        <w:rPr>
          <w:b/>
          <w:bCs/>
        </w:rPr>
        <w:t xml:space="preserve">how much of the improvement is retained</w:t>
      </w:r>
      <w:r>
        <w:t xml:space="preserve"> </w:t>
      </w:r>
      <w:r>
        <w:t xml:space="preserve">after energy, freight, fiber, and converting-price lags.</w:t>
      </w:r>
    </w:p>
    <w:p>
      <w:pPr>
        <w:pStyle w:val="BodyText"/>
      </w:pPr>
      <w:r>
        <w:t xml:space="preserve">For North American containerboard, paper pricing should begin to contribute meaningfully in the second half. For converting operations, the benefit is usually delayed. That makes management’s commentary on July order trends, contracts, and the degree of pass-through especially important.</w:t>
      </w:r>
    </w:p>
    <w:bookmarkEnd w:id="13"/>
    <w:bookmarkStart w:id="14" w:name="X09d5ecab75c316ae786707c4ea0434c6ac6cbc3"/>
    <w:p>
      <w:pPr>
        <w:pStyle w:val="Heading3"/>
      </w:pPr>
      <w:r>
        <w:t xml:space="preserve">3. EMEA/APAC: pricing lag and energy exposure</w:t>
      </w:r>
    </w:p>
    <w:p>
      <w:pPr>
        <w:pStyle w:val="FirstParagraph"/>
      </w:pPr>
      <w:r>
        <w:t xml:space="preserve">EMEA/APAC was the relative bright spot in 1Q: adjusted EBITDA rose to</w:t>
      </w:r>
      <w:r>
        <w:t xml:space="preserve"> </w:t>
      </w:r>
      <w:r>
        <w:rPr>
          <w:b/>
          <w:bCs/>
        </w:rPr>
        <w:t xml:space="preserve">$421 million</w:t>
      </w:r>
      <w:r>
        <w:t xml:space="preserve">, and margin held at</w:t>
      </w:r>
      <w:r>
        <w:t xml:space="preserve"> </w:t>
      </w:r>
      <w:r>
        <w:rPr>
          <w:b/>
          <w:bCs/>
        </w:rPr>
        <w:t xml:space="preserve">15.2%</w:t>
      </w:r>
      <w:r>
        <w:t xml:space="preserve">. Management cited better demand, customer wins, capacity rationalization, and improved containerboard pricing.</w:t>
      </w:r>
    </w:p>
    <w:p>
      <w:pPr>
        <w:pStyle w:val="BodyText"/>
      </w:pPr>
      <w:r>
        <w:t xml:space="preserve">The trade-off is that Europe’s energy impact was expected to rise in subsequent quarters as hedges rolled off. Management indicated it was about</w:t>
      </w:r>
      <w:r>
        <w:t xml:space="preserve"> </w:t>
      </w:r>
      <w:r>
        <w:rPr>
          <w:b/>
          <w:bCs/>
        </w:rPr>
        <w:t xml:space="preserve">50% hedged for 2Q</w:t>
      </w:r>
      <w:r>
        <w:t xml:space="preserve">, with lower hedge coverage later in the year.</w:t>
      </w:r>
    </w:p>
    <w:p>
      <w:pPr>
        <w:pStyle w:val="BodyText"/>
      </w:pPr>
      <w:r>
        <w:t xml:space="preserve">The positive setup is that recycled-paper, kraftliner, and specialty-grade price increases were implemented, while corrugated-box price recovery should build through 2H as contracts reset.</w:t>
      </w:r>
    </w:p>
    <w:p>
      <w:pPr>
        <w:pStyle w:val="BodyText"/>
      </w:pPr>
      <w:r>
        <w:rPr>
          <w:b/>
          <w:bCs/>
        </w:rPr>
        <w:t xml:space="preserve">Watch for:</w:t>
      </w:r>
    </w:p>
    <w:p>
      <w:pPr>
        <w:pStyle w:val="Compact"/>
        <w:numPr>
          <w:ilvl w:val="0"/>
          <w:numId w:val="1005"/>
        </w:numPr>
      </w:pPr>
      <w:r>
        <w:t xml:space="preserve">Confirmation that European demand and order books remain firm.</w:t>
      </w:r>
    </w:p>
    <w:p>
      <w:pPr>
        <w:pStyle w:val="Compact"/>
        <w:numPr>
          <w:ilvl w:val="0"/>
          <w:numId w:val="1005"/>
        </w:numPr>
      </w:pPr>
      <w:r>
        <w:t xml:space="preserve">The pace of corrugated price recovery.</w:t>
      </w:r>
    </w:p>
    <w:p>
      <w:pPr>
        <w:pStyle w:val="Compact"/>
        <w:numPr>
          <w:ilvl w:val="0"/>
          <w:numId w:val="1005"/>
        </w:numPr>
      </w:pPr>
      <w:r>
        <w:t xml:space="preserve">Updated energy-cost assumptions and hedge coverage.</w:t>
      </w:r>
    </w:p>
    <w:p>
      <w:pPr>
        <w:pStyle w:val="Compact"/>
        <w:numPr>
          <w:ilvl w:val="0"/>
          <w:numId w:val="1005"/>
        </w:numPr>
      </w:pPr>
      <w:r>
        <w:t xml:space="preserve">Any incremental asset-optimization actions following the planned closure consultation for a high-cost UK mill and four converting sites.</w:t>
      </w:r>
    </w:p>
    <w:bookmarkEnd w:id="14"/>
    <w:bookmarkStart w:id="15" w:name="X506ea63723d227ad07d203d2d8db6f90df8f405"/>
    <w:p>
      <w:pPr>
        <w:pStyle w:val="Heading3"/>
      </w:pPr>
      <w:r>
        <w:t xml:space="preserve">4. Consumer packaging: improving demand, but profitability remains unfinished</w:t>
      </w:r>
    </w:p>
    <w:p>
      <w:pPr>
        <w:pStyle w:val="FirstParagraph"/>
      </w:pPr>
      <w:r>
        <w:t xml:space="preserve">Management described improved conditions in SBS and said the business was sold out in that grade by April, supported by customer conversions and a substrate-agnostic offering across SBS, CUK, and CRB. That is strategically encouraging.</w:t>
      </w:r>
    </w:p>
    <w:p>
      <w:pPr>
        <w:pStyle w:val="BodyText"/>
      </w:pPr>
      <w:r>
        <w:t xml:space="preserve">But management also acknowledged that returns in parts of the consumer business—particularly some CRB assets—remain inadequate. The quarter should clarify whether stronger SBS utilization and selective price increases are translating into a meaningful profit improvement, or whether reliability and asset-performance work will remain a longer-duration issue.</w:t>
      </w:r>
    </w:p>
    <w:bookmarkEnd w:id="15"/>
    <w:bookmarkStart w:id="16" w:name="Xa9b2302d76f3c16ec0f84814f98a6052817e979"/>
    <w:p>
      <w:pPr>
        <w:pStyle w:val="Heading3"/>
      </w:pPr>
      <w:r>
        <w:t xml:space="preserve">5. LATAM: a high-margin stabilizer</w:t>
      </w:r>
    </w:p>
    <w:p>
      <w:pPr>
        <w:pStyle w:val="FirstParagraph"/>
      </w:pPr>
      <w:r>
        <w:t xml:space="preserve">LATAM delivered an approximately</w:t>
      </w:r>
      <w:r>
        <w:t xml:space="preserve"> </w:t>
      </w:r>
      <w:r>
        <w:rPr>
          <w:b/>
          <w:bCs/>
        </w:rPr>
        <w:t xml:space="preserve">20% adjusted EBITDA margin</w:t>
      </w:r>
      <w:r>
        <w:t xml:space="preserve"> </w:t>
      </w:r>
      <w:r>
        <w:t xml:space="preserve">in 1Q26, even as EBITDA declined modestly year over year to</w:t>
      </w:r>
      <w:r>
        <w:t xml:space="preserve"> </w:t>
      </w:r>
      <w:r>
        <w:rPr>
          <w:b/>
          <w:bCs/>
        </w:rPr>
        <w:t xml:space="preserve">$109 million</w:t>
      </w:r>
      <w:r>
        <w:t xml:space="preserve">. The company continues to cite strong positions, improving pricing, and organic/inorganic growth opportunities, including the recently added Ecuador corrugated facility.</w:t>
      </w:r>
    </w:p>
    <w:p>
      <w:pPr>
        <w:pStyle w:val="BodyText"/>
      </w:pPr>
      <w:r>
        <w:t xml:space="preserve">LATAM is unlikely to drive the stock reaction on its own, but continued high margins and volume growth would reinforce the portfolio’s resilience and support the longer-term growth framework.</w:t>
      </w:r>
    </w:p>
    <w:bookmarkEnd w:id="16"/>
    <w:bookmarkEnd w:id="17"/>
    <w:bookmarkStart w:id="18" w:name="cash-flow-debt-and-capital-allocation"/>
    <w:p>
      <w:pPr>
        <w:pStyle w:val="Heading2"/>
      </w:pPr>
      <w:r>
        <w:t xml:space="preserve">Cash flow, debt, and capital allocation</w:t>
      </w:r>
    </w:p>
    <w:p>
      <w:pPr>
        <w:pStyle w:val="FirstParagraph"/>
      </w:pPr>
      <w:r>
        <w:t xml:space="preserve">Free cash flow should improve seasonally from 1Q, when operating cash flow was only</w:t>
      </w:r>
      <w:r>
        <w:t xml:space="preserve"> </w:t>
      </w:r>
      <m:oMath>
        <m:r>
          <m:t>204</m:t>
        </m:r>
        <m:r>
          <m:t>m</m:t>
        </m:r>
        <m:r>
          <m:t>i</m:t>
        </m:r>
        <m:r>
          <m:t>l</m:t>
        </m:r>
        <m:r>
          <m:t>l</m:t>
        </m:r>
        <m:r>
          <m:t>i</m:t>
        </m:r>
        <m:r>
          <m:t>o</m:t>
        </m:r>
        <m:r>
          <m:t>n</m:t>
        </m:r>
        <m:r>
          <m:rPr>
            <m:sty m:val="p"/>
          </m:rPr>
          <m:t>*</m:t>
        </m:r>
        <m:r>
          <m:rPr>
            <m:sty m:val="p"/>
          </m:rPr>
          <m:t>*</m:t>
        </m:r>
        <m:r>
          <m:t>a</m:t>
        </m:r>
        <m:r>
          <m:t>n</m:t>
        </m:r>
        <m:r>
          <m:t>d</m:t>
        </m:r>
        <m:r>
          <m:t>c</m:t>
        </m:r>
        <m:r>
          <m:t>a</m:t>
        </m:r>
        <m:r>
          <m:t>p</m:t>
        </m:r>
        <m:r>
          <m:t>e</m:t>
        </m:r>
        <m:r>
          <m:t>x</m:t>
        </m:r>
        <m:r>
          <m:t>w</m:t>
        </m:r>
        <m:r>
          <m:t>a</m:t>
        </m:r>
        <m:r>
          <m:t>s</m:t>
        </m:r>
        <m:r>
          <m:rPr>
            <m:sty m:val="p"/>
          </m:rPr>
          <m:t>*</m:t>
        </m:r>
        <m:r>
          <m:rPr>
            <m:sty m:val="p"/>
          </m:rPr>
          <m:t>*</m:t>
        </m:r>
      </m:oMath>
      <w:r>
        <w:rPr>
          <w:b/>
          <w:bCs/>
        </w:rPr>
        <w:t xml:space="preserve">624 million</w:t>
      </w:r>
      <w:r>
        <w:t xml:space="preserve">. Working capital was a meaningful use of cash during the quarter, particularly receivables.</w:t>
      </w:r>
    </w:p>
    <w:p>
      <w:pPr>
        <w:pStyle w:val="BodyText"/>
      </w:pPr>
      <w:r>
        <w:t xml:space="preserve">At March 31, SW had:</w:t>
      </w:r>
    </w:p>
    <w:p>
      <w:pPr>
        <w:pStyle w:val="Compact"/>
        <w:numPr>
          <w:ilvl w:val="0"/>
          <w:numId w:val="1006"/>
        </w:numPr>
      </w:pPr>
      <w:r>
        <w:rPr>
          <w:b/>
          <w:bCs/>
        </w:rPr>
        <w:t xml:space="preserve">$14.3 billion of total debt</w:t>
      </w:r>
    </w:p>
    <w:p>
      <w:pPr>
        <w:pStyle w:val="Compact"/>
        <w:numPr>
          <w:ilvl w:val="0"/>
          <w:numId w:val="1006"/>
        </w:numPr>
      </w:pPr>
      <w:r>
        <w:rPr>
          <w:b/>
          <w:bCs/>
        </w:rPr>
        <w:t xml:space="preserve">$674 million of cash</w:t>
      </w:r>
    </w:p>
    <w:p>
      <w:pPr>
        <w:pStyle w:val="Compact"/>
        <w:numPr>
          <w:ilvl w:val="0"/>
          <w:numId w:val="1006"/>
        </w:numPr>
      </w:pPr>
      <w:r>
        <w:t xml:space="preserve">About</w:t>
      </w:r>
      <w:r>
        <w:t xml:space="preserve"> </w:t>
      </w:r>
      <w:r>
        <w:rPr>
          <w:b/>
          <w:bCs/>
        </w:rPr>
        <w:t xml:space="preserve">$5.3 billion of available liquidity</w:t>
      </w:r>
      <w:r>
        <w:t xml:space="preserve">, including undrawn facilities</w:t>
      </w:r>
    </w:p>
    <w:p>
      <w:pPr>
        <w:pStyle w:val="FirstParagraph"/>
      </w:pPr>
      <w:r>
        <w:t xml:space="preserve">The balance sheet is not the primary near-term issue, but investors should watch cash conversion closely. The company’s strategy depends on converting EBITDA gains into discretionary free cash flow while funding growth, restructuring, dividends, and debt reduction.</w:t>
      </w:r>
    </w:p>
    <w:p>
      <w:pPr>
        <w:pStyle w:val="BodyText"/>
      </w:pPr>
      <w:r>
        <w:t xml:space="preserve">The quarterly dividend is</w:t>
      </w:r>
      <w:r>
        <w:t xml:space="preserve"> </w:t>
      </w:r>
      <m:oMath>
        <m:r>
          <m:t>0.4523</m:t>
        </m:r>
        <m:r>
          <m:t>p</m:t>
        </m:r>
        <m:r>
          <m:t>e</m:t>
        </m:r>
        <m:r>
          <m:t>r</m:t>
        </m:r>
        <m:r>
          <m:t>s</m:t>
        </m:r>
        <m:r>
          <m:t>h</m:t>
        </m:r>
        <m:r>
          <m:t>a</m:t>
        </m:r>
        <m:r>
          <m:t>r</m:t>
        </m:r>
        <m:r>
          <m:t>e</m:t>
        </m:r>
        <m:r>
          <m:rPr>
            <m:sty m:val="p"/>
          </m:rPr>
          <m:t>*</m:t>
        </m:r>
        <m:r>
          <m:rPr>
            <m:sty m:val="p"/>
          </m:rPr>
          <m:t>*</m:t>
        </m:r>
        <m:r>
          <m:rPr>
            <m:sty m:val="p"/>
          </m:rPr>
          <m:t>,</m:t>
        </m:r>
        <m:r>
          <m:t>i</m:t>
        </m:r>
        <m:r>
          <m:t>m</m:t>
        </m:r>
        <m:r>
          <m:t>p</m:t>
        </m:r>
        <m:r>
          <m:t>l</m:t>
        </m:r>
        <m:r>
          <m:t>y</m:t>
        </m:r>
        <m:r>
          <m:t>i</m:t>
        </m:r>
        <m:r>
          <m:t>n</m:t>
        </m:r>
        <m:r>
          <m:t>g</m:t>
        </m:r>
        <m:r>
          <m:t>a</m:t>
        </m:r>
        <m:r>
          <m:t>n</m:t>
        </m:r>
        <m:r>
          <m:t>a</m:t>
        </m:r>
        <m:r>
          <m:t>n</m:t>
        </m:r>
        <m:r>
          <m:t>n</m:t>
        </m:r>
        <m:r>
          <m:t>u</m:t>
        </m:r>
        <m:r>
          <m:t>a</m:t>
        </m:r>
        <m:r>
          <m:t>l</m:t>
        </m:r>
        <m:r>
          <m:t>i</m:t>
        </m:r>
        <m:r>
          <m:t>z</m:t>
        </m:r>
        <m:r>
          <m:t>e</m:t>
        </m:r>
        <m:r>
          <m:t>d</m:t>
        </m:r>
        <m:r>
          <m:t>r</m:t>
        </m:r>
        <m:r>
          <m:t>a</m:t>
        </m:r>
        <m:r>
          <m:t>t</m:t>
        </m:r>
        <m:r>
          <m:t>e</m:t>
        </m:r>
        <m:r>
          <m:t>o</m:t>
        </m:r>
        <m:r>
          <m:t>f</m:t>
        </m:r>
        <m:r>
          <m:t>a</m:t>
        </m:r>
        <m:r>
          <m:t>b</m:t>
        </m:r>
        <m:r>
          <m:t>o</m:t>
        </m:r>
        <m:r>
          <m:t>u</m:t>
        </m:r>
        <m:r>
          <m:t>t</m:t>
        </m:r>
        <m:r>
          <m:rPr>
            <m:sty m:val="p"/>
          </m:rPr>
          <m:t>*</m:t>
        </m:r>
        <m:r>
          <m:rPr>
            <m:sty m:val="p"/>
          </m:rPr>
          <m:t>*</m:t>
        </m:r>
      </m:oMath>
      <w:r>
        <w:rPr>
          <w:b/>
          <w:bCs/>
        </w:rPr>
        <w:t xml:space="preserve">1.81 per share</w:t>
      </w:r>
      <w:r>
        <w:t xml:space="preserve">.</w:t>
      </w:r>
    </w:p>
    <w:bookmarkEnd w:id="18"/>
    <w:bookmarkStart w:id="19" w:name="X0e54be7c988be5d60ab374fb78e0b36cf184796"/>
    <w:p>
      <w:pPr>
        <w:pStyle w:val="Heading2"/>
      </w:pPr>
      <w:r>
        <w:t xml:space="preserve">Expectations versus valuation: why guidance matters more than the print</w:t>
      </w:r>
    </w:p>
    <w:p>
      <w:pPr>
        <w:pStyle w:val="FirstParagraph"/>
      </w:pPr>
      <w:r>
        <w:t xml:space="preserve">The stock’s recent rally suggests investors are increasingly pricing in:</w:t>
      </w:r>
    </w:p>
    <w:p>
      <w:pPr>
        <w:pStyle w:val="Compact"/>
        <w:numPr>
          <w:ilvl w:val="0"/>
          <w:numId w:val="1007"/>
        </w:numPr>
      </w:pPr>
      <w:r>
        <w:t xml:space="preserve">A containerboard and packaging-cycle recovery,</w:t>
      </w:r>
    </w:p>
    <w:p>
      <w:pPr>
        <w:pStyle w:val="Compact"/>
        <w:numPr>
          <w:ilvl w:val="0"/>
          <w:numId w:val="1007"/>
        </w:numPr>
      </w:pPr>
      <w:r>
        <w:t xml:space="preserve">Successful price realization,</w:t>
      </w:r>
    </w:p>
    <w:p>
      <w:pPr>
        <w:pStyle w:val="Compact"/>
        <w:numPr>
          <w:ilvl w:val="0"/>
          <w:numId w:val="1007"/>
        </w:numPr>
      </w:pPr>
      <w:r>
        <w:t xml:space="preserve">Tangible operational improvement in North America,</w:t>
      </w:r>
    </w:p>
    <w:p>
      <w:pPr>
        <w:pStyle w:val="Compact"/>
        <w:numPr>
          <w:ilvl w:val="0"/>
          <w:numId w:val="1007"/>
        </w:numPr>
      </w:pPr>
      <w:r>
        <w:t xml:space="preserve">Continued merger synergies and portfolio optimization, and</w:t>
      </w:r>
    </w:p>
    <w:p>
      <w:pPr>
        <w:pStyle w:val="Compact"/>
        <w:numPr>
          <w:ilvl w:val="0"/>
          <w:numId w:val="1007"/>
        </w:numPr>
      </w:pPr>
      <w:r>
        <w:t xml:space="preserve">A credible path toward the company’s 2030 targets.</w:t>
      </w:r>
    </w:p>
    <w:p>
      <w:pPr>
        <w:pStyle w:val="FirstParagraph"/>
      </w:pPr>
      <w:r>
        <w:t xml:space="preserve">SW’s medium-term plan calls for</w:t>
      </w:r>
      <w:r>
        <w:t xml:space="preserve"> </w:t>
      </w:r>
      <m:oMath>
        <m:r>
          <m:t>7</m:t>
        </m:r>
        <m:r>
          <m:t>b</m:t>
        </m:r>
        <m:r>
          <m:t>i</m:t>
        </m:r>
        <m:r>
          <m:t>l</m:t>
        </m:r>
        <m:r>
          <m:t>l</m:t>
        </m:r>
        <m:r>
          <m:t>i</m:t>
        </m:r>
        <m:r>
          <m:t>o</m:t>
        </m:r>
        <m:r>
          <m:t>n</m:t>
        </m:r>
        <m:r>
          <m:t>o</m:t>
        </m:r>
        <m:r>
          <m:t>f</m:t>
        </m:r>
        <m:r>
          <m:t>a</m:t>
        </m:r>
        <m:r>
          <m:t>d</m:t>
        </m:r>
        <m:r>
          <m:t>j</m:t>
        </m:r>
        <m:r>
          <m:t>u</m:t>
        </m:r>
        <m:r>
          <m:t>s</m:t>
        </m:r>
        <m:r>
          <m:t>t</m:t>
        </m:r>
        <m:r>
          <m:t>e</m:t>
        </m:r>
        <m:r>
          <m:t>d</m:t>
        </m:r>
        <m:r>
          <m:t>E</m:t>
        </m:r>
        <m:r>
          <m:t>B</m:t>
        </m:r>
        <m:r>
          <m:t>I</m:t>
        </m:r>
        <m:r>
          <m:t>T</m:t>
        </m:r>
        <m:r>
          <m:t>D</m:t>
        </m:r>
        <m:r>
          <m:t>A</m:t>
        </m:r>
        <m:r>
          <m:t>b</m:t>
        </m:r>
        <m:r>
          <m:t>y</m:t>
        </m:r>
        <m:r>
          <m:t>2030</m:t>
        </m:r>
        <m:r>
          <m:rPr>
            <m:sty m:val="p"/>
          </m:rPr>
          <m:t>*</m:t>
        </m:r>
        <m:r>
          <m:rPr>
            <m:sty m:val="p"/>
          </m:rPr>
          <m:t>*</m:t>
        </m:r>
        <m:r>
          <m:rPr>
            <m:sty m:val="p"/>
          </m:rPr>
          <m:t>,</m:t>
        </m:r>
        <m:r>
          <m:t>a</m:t>
        </m:r>
        <m:r>
          <m:rPr>
            <m:sty m:val="p"/>
          </m:rPr>
          <m:t>*</m:t>
        </m:r>
        <m:r>
          <m:rPr>
            <m:sty m:val="p"/>
          </m:rPr>
          <m:t>*</m:t>
        </m:r>
        <m:r>
          <m:t>19</m:t>
        </m:r>
      </m:oMath>
      <w:r>
        <w:rPr>
          <w:b/>
          <w:bCs/>
        </w:rPr>
        <w:t xml:space="preserve">14 billion of discretionary free cash flow</w:t>
      </w:r>
      <w:r>
        <w:t xml:space="preserve"> </w:t>
      </w:r>
      <w:r>
        <w:t xml:space="preserve">over the plan period. Those are ambitious targets; this quarter is not expected to prove them, but it can either strengthen or weaken confidence in the first leg of the plan.</w:t>
      </w:r>
    </w:p>
    <w:bookmarkEnd w:id="19"/>
    <w:bookmarkStart w:id="23" w:name="potential-market-reactions"/>
    <w:p>
      <w:pPr>
        <w:pStyle w:val="Heading2"/>
      </w:pPr>
      <w:r>
        <w:t xml:space="preserve">Potential market reactions</w:t>
      </w:r>
    </w:p>
    <w:bookmarkStart w:id="20" w:name="bull-case"/>
    <w:p>
      <w:pPr>
        <w:pStyle w:val="Heading3"/>
      </w:pPr>
      <w:r>
        <w:t xml:space="preserve">Bull case</w:t>
      </w:r>
    </w:p>
    <w:p>
      <w:pPr>
        <w:pStyle w:val="Compact"/>
        <w:numPr>
          <w:ilvl w:val="0"/>
          <w:numId w:val="1008"/>
        </w:numPr>
      </w:pPr>
      <w:r>
        <w:t xml:space="preserve">EBITDA lands near or above the</w:t>
      </w:r>
      <w:r>
        <w:t xml:space="preserve"> </w:t>
      </w:r>
      <w:r>
        <w:rPr>
          <w:b/>
          <w:bCs/>
        </w:rPr>
        <w:t xml:space="preserve">$1.2 billion</w:t>
      </w:r>
      <w:r>
        <w:t xml:space="preserve"> </w:t>
      </w:r>
      <w:r>
        <w:t xml:space="preserve">high end of management’s range.</w:t>
      </w:r>
    </w:p>
    <w:p>
      <w:pPr>
        <w:pStyle w:val="Compact"/>
        <w:numPr>
          <w:ilvl w:val="0"/>
          <w:numId w:val="1008"/>
        </w:numPr>
      </w:pPr>
      <w:r>
        <w:t xml:space="preserve">North American volume and customer onboarding show a clearer inflection.</w:t>
      </w:r>
    </w:p>
    <w:p>
      <w:pPr>
        <w:pStyle w:val="Compact"/>
        <w:numPr>
          <w:ilvl w:val="0"/>
          <w:numId w:val="1008"/>
        </w:numPr>
      </w:pPr>
      <w:r>
        <w:t xml:space="preserve">Management says announced price increases are sticking and sees tangible 3Q benefit.</w:t>
      </w:r>
    </w:p>
    <w:p>
      <w:pPr>
        <w:pStyle w:val="Compact"/>
        <w:numPr>
          <w:ilvl w:val="0"/>
          <w:numId w:val="1008"/>
        </w:numPr>
      </w:pPr>
      <w:r>
        <w:t xml:space="preserve">FY26 EBITDA guidance is reaffirmed with confidence, or the tone suggests upside.</w:t>
      </w:r>
    </w:p>
    <w:p>
      <w:pPr>
        <w:pStyle w:val="Compact"/>
        <w:numPr>
          <w:ilvl w:val="0"/>
          <w:numId w:val="1008"/>
        </w:numPr>
      </w:pPr>
      <w:r>
        <w:t xml:space="preserve">Energy and freight headwinds are stable rather than worsening.</w:t>
      </w:r>
    </w:p>
    <w:bookmarkEnd w:id="20"/>
    <w:bookmarkStart w:id="21" w:name="base-case"/>
    <w:p>
      <w:pPr>
        <w:pStyle w:val="Heading3"/>
      </w:pPr>
      <w:r>
        <w:t xml:space="preserve">Base case</w:t>
      </w:r>
    </w:p>
    <w:p>
      <w:pPr>
        <w:pStyle w:val="Compact"/>
        <w:numPr>
          <w:ilvl w:val="0"/>
          <w:numId w:val="1009"/>
        </w:numPr>
      </w:pPr>
      <w:r>
        <w:t xml:space="preserve">EBITDA lands near the</w:t>
      </w:r>
      <w:r>
        <w:t xml:space="preserve"> </w:t>
      </w:r>
      <w:r>
        <w:rPr>
          <w:b/>
          <w:bCs/>
        </w:rPr>
        <w:t xml:space="preserve">$1.15 billion midpoint</w:t>
      </w:r>
      <w:r>
        <w:t xml:space="preserve">.</w:t>
      </w:r>
    </w:p>
    <w:p>
      <w:pPr>
        <w:pStyle w:val="Compact"/>
        <w:numPr>
          <w:ilvl w:val="0"/>
          <w:numId w:val="1009"/>
        </w:numPr>
      </w:pPr>
      <w:r>
        <w:t xml:space="preserve">Guidance is reiterated, but management remains measured on demand and price/cost.</w:t>
      </w:r>
    </w:p>
    <w:p>
      <w:pPr>
        <w:pStyle w:val="Compact"/>
        <w:numPr>
          <w:ilvl w:val="0"/>
          <w:numId w:val="1009"/>
        </w:numPr>
      </w:pPr>
      <w:r>
        <w:t xml:space="preserve">Price benefits are framed as increasingly second-half weighted.</w:t>
      </w:r>
    </w:p>
    <w:p>
      <w:pPr>
        <w:pStyle w:val="Compact"/>
        <w:numPr>
          <w:ilvl w:val="0"/>
          <w:numId w:val="1009"/>
        </w:numPr>
      </w:pPr>
      <w:r>
        <w:t xml:space="preserve">Shares may consolidate after the recent sharp move higher.</w:t>
      </w:r>
    </w:p>
    <w:bookmarkEnd w:id="21"/>
    <w:bookmarkStart w:id="22" w:name="bear-case"/>
    <w:p>
      <w:pPr>
        <w:pStyle w:val="Heading3"/>
      </w:pPr>
      <w:r>
        <w:t xml:space="preserve">Bear case</w:t>
      </w:r>
    </w:p>
    <w:p>
      <w:pPr>
        <w:pStyle w:val="Compact"/>
        <w:numPr>
          <w:ilvl w:val="0"/>
          <w:numId w:val="1010"/>
        </w:numPr>
      </w:pPr>
      <w:r>
        <w:t xml:space="preserve">EBITDA is below the guided range, or margins disappoint despite lower downtime.</w:t>
      </w:r>
    </w:p>
    <w:p>
      <w:pPr>
        <w:pStyle w:val="Compact"/>
        <w:numPr>
          <w:ilvl w:val="0"/>
          <w:numId w:val="1010"/>
        </w:numPr>
      </w:pPr>
      <w:r>
        <w:t xml:space="preserve">Management points to weaker-than-expected box demand after April, customer caution, or poor price realization.</w:t>
      </w:r>
    </w:p>
    <w:p>
      <w:pPr>
        <w:pStyle w:val="Compact"/>
        <w:numPr>
          <w:ilvl w:val="0"/>
          <w:numId w:val="1010"/>
        </w:numPr>
      </w:pPr>
      <w:r>
        <w:t xml:space="preserve">Energy, freight, or fiber assumptions move materially higher.</w:t>
      </w:r>
    </w:p>
    <w:p>
      <w:pPr>
        <w:pStyle w:val="Compact"/>
        <w:numPr>
          <w:ilvl w:val="0"/>
          <w:numId w:val="1010"/>
        </w:numPr>
      </w:pPr>
      <w:r>
        <w:t xml:space="preserve">The full-year range is cut or maintained only with a notably more back-end-loaded recovery assumption.</w:t>
      </w:r>
    </w:p>
    <w:bookmarkEnd w:id="22"/>
    <w:bookmarkEnd w:id="23"/>
    <w:bookmarkStart w:id="24" w:name="questions-for-management"/>
    <w:p>
      <w:pPr>
        <w:pStyle w:val="Heading2"/>
      </w:pPr>
      <w:r>
        <w:t xml:space="preserve">Questions for management</w:t>
      </w:r>
    </w:p>
    <w:p>
      <w:pPr>
        <w:pStyle w:val="Compact"/>
        <w:numPr>
          <w:ilvl w:val="0"/>
          <w:numId w:val="1011"/>
        </w:numPr>
      </w:pPr>
      <w:r>
        <w:rPr>
          <w:b/>
          <w:bCs/>
        </w:rPr>
        <w:t xml:space="preserve">How have North American corrugated volumes progressed from April through July, and how much of the new-customer pipeline is now shipping?</w:t>
      </w:r>
    </w:p>
    <w:p>
      <w:pPr>
        <w:pStyle w:val="Compact"/>
        <w:numPr>
          <w:ilvl w:val="0"/>
          <w:numId w:val="1011"/>
        </w:numPr>
      </w:pPr>
      <w:r>
        <w:rPr>
          <w:b/>
          <w:bCs/>
        </w:rPr>
        <w:t xml:space="preserve">What portion of the announced North American containerboard price increases is implemented, and what is the expected earnings cadence through 3Q and 4Q?</w:t>
      </w:r>
    </w:p>
    <w:p>
      <w:pPr>
        <w:pStyle w:val="Compact"/>
        <w:numPr>
          <w:ilvl w:val="0"/>
          <w:numId w:val="1011"/>
        </w:numPr>
      </w:pPr>
      <w:r>
        <w:rPr>
          <w:b/>
          <w:bCs/>
        </w:rPr>
        <w:t xml:space="preserve">Was the spring demand improvement primarily restocking/pre-buying, or has end-market demand improved structurally?</w:t>
      </w:r>
    </w:p>
    <w:p>
      <w:pPr>
        <w:pStyle w:val="Compact"/>
        <w:numPr>
          <w:ilvl w:val="0"/>
          <w:numId w:val="1011"/>
        </w:numPr>
      </w:pPr>
      <w:r>
        <w:rPr>
          <w:b/>
          <w:bCs/>
        </w:rPr>
        <w:t xml:space="preserve">How much lower was economic downtime in 2Q versus 1Q and versus 2Q25?</w:t>
      </w:r>
    </w:p>
    <w:p>
      <w:pPr>
        <w:pStyle w:val="Compact"/>
        <w:numPr>
          <w:ilvl w:val="0"/>
          <w:numId w:val="1011"/>
        </w:numPr>
      </w:pPr>
      <w:r>
        <w:rPr>
          <w:b/>
          <w:bCs/>
        </w:rPr>
        <w:t xml:space="preserve">Has the</w:t>
      </w:r>
      <w:r>
        <w:rPr>
          <w:b/>
          <w:bCs/>
        </w:rPr>
        <w:t xml:space="preserve"> </w:t>
      </w:r>
      <m:oMath>
        <m:r>
          <m:t>270</m:t>
        </m:r>
        <m:r>
          <m:rPr>
            <m:sty m:val="p"/>
          </m:rPr>
          <m:t>–</m:t>
        </m:r>
      </m:oMath>
      <w:r>
        <w:rPr>
          <w:b/>
          <w:bCs/>
        </w:rPr>
        <w:t xml:space="preserve">290 million FY26 energy headwind changed, and what is the updated freight and recovered-fiber outlook?</w:t>
      </w:r>
    </w:p>
    <w:p>
      <w:pPr>
        <w:pStyle w:val="Compact"/>
        <w:numPr>
          <w:ilvl w:val="0"/>
          <w:numId w:val="1011"/>
        </w:numPr>
      </w:pPr>
      <w:r>
        <w:rPr>
          <w:b/>
          <w:bCs/>
        </w:rPr>
        <w:t xml:space="preserve">When should investors expect EMEA corrugated pricing to more fully reflect higher paper and energy costs?</w:t>
      </w:r>
    </w:p>
    <w:p>
      <w:pPr>
        <w:pStyle w:val="Compact"/>
        <w:numPr>
          <w:ilvl w:val="0"/>
          <w:numId w:val="1011"/>
        </w:numPr>
      </w:pPr>
      <w:r>
        <w:rPr>
          <w:b/>
          <w:bCs/>
        </w:rPr>
        <w:t xml:space="preserve">What has to happen operationally for North America to move sustainably toward the company’s targeted corrugated-margin improvement?</w:t>
      </w:r>
    </w:p>
    <w:p>
      <w:pPr>
        <w:pStyle w:val="Compact"/>
        <w:numPr>
          <w:ilvl w:val="0"/>
          <w:numId w:val="1011"/>
        </w:numPr>
      </w:pPr>
      <w:r>
        <w:rPr>
          <w:b/>
          <w:bCs/>
        </w:rPr>
        <w:t xml:space="preserve">How should investors think about 2H free-cash-flow conversion after the weak, capex-heavy first quarter?</w:t>
      </w:r>
    </w:p>
    <w:bookmarkEnd w:id="24"/>
    <w:bookmarkStart w:id="26" w:name="takeaway"/>
    <w:p>
      <w:pPr>
        <w:pStyle w:val="Heading2"/>
      </w:pPr>
      <w:r>
        <w:t xml:space="preserve">Takeaway</w:t>
      </w:r>
    </w:p>
    <w:p>
      <w:pPr>
        <w:pStyle w:val="FirstParagraph"/>
      </w:pPr>
      <w:r>
        <w:t xml:space="preserve">This is a</w:t>
      </w:r>
      <w:r>
        <w:t xml:space="preserve"> </w:t>
      </w:r>
      <w:r>
        <w:rPr>
          <w:b/>
          <w:bCs/>
        </w:rPr>
        <w:t xml:space="preserve">proof-of-inflection</w:t>
      </w:r>
      <w:r>
        <w:t xml:space="preserve"> </w:t>
      </w:r>
      <w:r>
        <w:t xml:space="preserve">quarter. The guided 2Q result should improve from the weather- and downtime-hit first quarter, but the more consequential issue is whether management can substantiate the implied second-half acceleration needed to reach its</w:t>
      </w:r>
      <w:r>
        <w:t xml:space="preserve"> </w:t>
      </w:r>
      <m:oMath>
        <m:r>
          <m:t>5.0</m:t>
        </m:r>
        <m:r>
          <m:rPr>
            <m:sty m:val="p"/>
          </m:rPr>
          <m:t>–</m:t>
        </m:r>
      </m:oMath>
      <w:r>
        <w:t xml:space="preserve">5.3 billion FY26 EBITDA range.</w:t>
      </w:r>
    </w:p>
    <w:p>
      <w:pPr>
        <w:pStyle w:val="BodyText"/>
      </w:pPr>
      <w:r>
        <w:t xml:space="preserve">The most important indicators will be</w:t>
      </w:r>
      <w:r>
        <w:t xml:space="preserve"> </w:t>
      </w:r>
      <w:r>
        <w:rPr>
          <w:b/>
          <w:bCs/>
        </w:rPr>
        <w:t xml:space="preserve">North American box-volume progression, price realization, cost containment, and the credibility of the 2H bridge</w:t>
      </w:r>
      <w:r>
        <w:t xml:space="preserve">. Given the stock’s substantial pre-report rally, a solid print without stronger evidence of a durable earnings recovery may be insufficient.</w:t>
      </w:r>
    </w:p>
    <w:p>
      <w:r>
        <w:pict>
          <v:rect style="width:0;height:1.5pt" o:hralign="center" o:hrstd="t" o:hr="t"/>
        </w:pict>
      </w:r>
    </w:p>
    <w:bookmarkStart w:id="25" w:name="sources-reviewed"/>
    <w:p>
      <w:pPr>
        <w:pStyle w:val="Heading3"/>
      </w:pPr>
      <w:r>
        <w:t xml:space="preserve">Sources reviewed</w:t>
      </w:r>
    </w:p>
    <w:p>
      <w:pPr>
        <w:pStyle w:val="Compact"/>
        <w:numPr>
          <w:ilvl w:val="0"/>
          <w:numId w:val="1012"/>
        </w:numPr>
      </w:pPr>
      <w:r>
        <w:t xml:space="preserve">Smurfit WestRock 1Q26 earnings release, April 30, 2026</w:t>
      </w:r>
    </w:p>
    <w:p>
      <w:pPr>
        <w:pStyle w:val="Compact"/>
        <w:numPr>
          <w:ilvl w:val="0"/>
          <w:numId w:val="1012"/>
        </w:numPr>
      </w:pPr>
      <w:r>
        <w:t xml:space="preserve">Smurfit WestRock 1Q26 earnings-call transcript, April 30, 2026</w:t>
      </w:r>
    </w:p>
    <w:p>
      <w:pPr>
        <w:pStyle w:val="Compact"/>
        <w:numPr>
          <w:ilvl w:val="0"/>
          <w:numId w:val="1012"/>
        </w:numPr>
      </w:pPr>
      <w:r>
        <w:t xml:space="preserve">Smurfit WestRock 1Q26 Form 10-Q, filed May 1, 2026</w:t>
      </w:r>
    </w:p>
    <w:p>
      <w:pPr>
        <w:pStyle w:val="Compact"/>
        <w:numPr>
          <w:ilvl w:val="0"/>
          <w:numId w:val="1012"/>
        </w:numPr>
      </w:pPr>
      <w:r>
        <w:t xml:space="preserve">Smurfit WestRock 2Q25 earnings release, July 30, 2025</w:t>
      </w:r>
    </w:p>
    <w:p>
      <w:pPr>
        <w:pStyle w:val="Compact"/>
        <w:numPr>
          <w:ilvl w:val="0"/>
          <w:numId w:val="1012"/>
        </w:numPr>
      </w:pPr>
      <w:r>
        <w:t xml:space="preserve">Smurfit WestRock 4Q25/FY25 earnings release, February 11, 2026</w:t>
      </w:r>
    </w:p>
    <w:p>
      <w:pPr>
        <w:pStyle w:val="Compact"/>
        <w:numPr>
          <w:ilvl w:val="0"/>
          <w:numId w:val="1012"/>
        </w:numPr>
      </w:pPr>
      <w:r>
        <w:t xml:space="preserve">SW historical share-price data through July 28, 2026</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2026-07-29T00:03:19Z</dcterms:created>
  <dcterms:modified xsi:type="dcterms:W3CDTF">2026-07-29T00:03:19Z</dcterms:modified>
</cp:coreProperties>
</file>

<file path=docProps/custom.xml><?xml version="1.0" encoding="utf-8"?>
<Properties xmlns="http://schemas.openxmlformats.org/officeDocument/2006/custom-properties" xmlns:vt="http://schemas.openxmlformats.org/officeDocument/2006/docPropsVTypes"/>
</file>