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-earnings-predictions--2026-07-29"/>
    <w:p>
      <w:pPr>
        <w:pStyle w:val="Heading1"/>
      </w:pPr>
      <w:r>
        <w:t xml:space="preserve">SW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~$730M vs. cons $696M (+4.9%)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Group 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~$1,200M vs. cons $1,152M (+4.2%)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~$0.46 vs. cons $0.431 (+6.7%)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$5.0-5.3B reaffirmed; midpoint $5.15B vs. cons $5.064B (+1.7%)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EBITDA (Q3 2026) [UNVERIFIED cons]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~$1.15-1.25B vs. Q3 2025 actual $1.302B; no Q3 2026 cons available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Tone / 2nd price increase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positive confirmation; second $50/ton tracking for Sept implementation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(STABILIZE)</w:t>
            </w:r>
          </w:p>
        </w:tc>
        <w:tc>
          <w:tcPr/>
          <w:p>
            <w:pPr>
              <w:pStyle w:val="Compact"/>
            </w:pPr>
            <w:r>
              <w:t xml:space="preserve">STABILIZE - beat confirmed, FY reaffirmation caps revision upside; modest drift as Q3 guide anchors near-term estimates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2026-07-31T21:31:05Z</dcterms:created>
  <dcterms:modified xsi:type="dcterms:W3CDTF">2026-07-31T21:31:05Z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