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Smurfit Westrock (SW)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Smurfit Westrock plc</w:t>
            </w:r>
          </w:p>
        </w:tc>
      </w:tr>
      <w:tr>
        <w:tc>
          <w:tcPr>
            <w:tcW w:type="dxa" w:w="4320"/>
          </w:tcPr>
          <w:p>
            <w:r>
              <w:rPr>
                <w:rFonts w:ascii="Calibri" w:hAnsi="Calibri"/>
                <w:b/>
                <w:sz w:val="22"/>
              </w:rPr>
              <w:t>Ticker</w:t>
            </w:r>
          </w:p>
        </w:tc>
        <w:tc>
          <w:tcPr>
            <w:tcW w:type="dxa" w:w="4320"/>
          </w:tcPr>
          <w:p>
            <w:r>
              <w:rPr>
                <w:rFonts w:ascii="Calibri" w:hAnsi="Calibri"/>
                <w:sz w:val="22"/>
              </w:rPr>
              <w:t>SW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July 29, 2026</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April 30,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constructive — consensus is a manageable bar after Q1's weather-driven miss, and management's own Q2 EBITDA guidance of $1.1B–$1.2B frames a range that estimates sit comfortably within; the biggest swing factor is whether the demand surge and price realization management described in April has held through June.</w:t>
      </w:r>
    </w:p>
    <w:p>
      <w:r>
        <w:rPr>
          <w:rFonts w:ascii="Calibri" w:hAnsi="Calibri"/>
          <w:color w:val="525866"/>
          <w:sz w:val="22"/>
        </w:rPr>
        <w:t xml:space="preserve">Heading into Q2 2026 results, the bar for Smurfit Westrock is meaningfully lower than it was a quarter ago, set against a Q1 print that was distorted by ~$65M of weather and ~$74M of downtime headwinds that management explicitly flagged as non-recurring. </w:t>
      </w:r>
      <w:r>
        <w:rPr>
          <w:rFonts w:ascii="Calibri" w:hAnsi="Calibri"/>
          <w:b/>
          <w:color w:val="525866"/>
          <w:sz w:val="22"/>
        </w:rPr>
        <w:t>Consensus Adjusted EBITDA of ~$1.15B sits at the midpoint of management's own $1.1B–$1.2B Q2 guidance</w:t>
      </w:r>
      <w:r>
        <w:rPr>
          <w:rFonts w:ascii="Calibri" w:hAnsi="Calibri"/>
          <w:color w:val="525866"/>
          <w:sz w:val="22"/>
        </w:rPr>
        <w:t xml:space="preserve">, suggesting the street is not pricing in a meaningful beat or miss — the bar is fair rather than stretched. Management's tone on the April 30 call was notably more confident than Q1 results implied: they described a </w:t>
      </w:r>
      <w:r>
        <w:rPr>
          <w:rFonts w:ascii="Calibri" w:hAnsi="Calibri"/>
          <w:b/>
          <w:color w:val="525866"/>
          <w:sz w:val="22"/>
        </w:rPr>
        <w:t>sold-out position across virtually all paper grades</w:t>
      </w:r>
      <w:r>
        <w:rPr>
          <w:rFonts w:ascii="Calibri" w:hAnsi="Calibri"/>
          <w:color w:val="525866"/>
          <w:sz w:val="22"/>
        </w:rPr>
        <w:t xml:space="preserve"> entering May, over 600 new corrugated customers won in Q1 (with April new-customer volume up 30% on March), and two rounds of North American containerboard price increases ($50/ton each) in progressive implementation. Estimate revisions since the Q1 print have been modestly positive — Q2 EBITDA consensus has moved up ~$13M and FY 2026 EBITDA up ~$29M — consistent with the improving demand narrative but not yet pricing in full price realization. The stock has recovered sharply from its post-Q1 lows (~$35–$36 in mid-May) to ~$50 today, a ~32% move that has outpaced peers IP and PKG, suggesting the market has already begun to price in the recovery; the multiple is no longer distressed but is not yet demanding. The key wildcard is </w:t>
      </w:r>
      <w:r>
        <w:rPr>
          <w:rFonts w:ascii="Calibri" w:hAnsi="Calibri"/>
          <w:b/>
          <w:color w:val="525866"/>
          <w:sz w:val="22"/>
        </w:rPr>
        <w:t>energy cost inflation</w:t>
      </w:r>
      <w:r>
        <w:rPr>
          <w:rFonts w:ascii="Calibri" w:hAnsi="Calibri"/>
          <w:color w:val="525866"/>
          <w:sz w:val="22"/>
        </w:rPr>
        <w:t>: management revised full-year energy headwinds from ~$80M to $270–$290M at Q1, and any further deterioration — particularly given the Middle East conflict flagged by peers CCK and SON — could pressure the FY guide even if Q2 itself is clean.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Adjusted EBITDA of ~$1.15B is a fair bar — squarely within management's own $1.1B–$1.2B Q2 guide — while Adjusted EPS of $0.43 is the bigger swing factor given its sensitivity to energy costs, interest expense, and FX. A clean quarter on downtime and early price realization could drive a modest beat on both.</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Total Revenue ($B)</w:t>
            </w:r>
          </w:p>
        </w:tc>
        <w:tc>
          <w:tcPr>
            <w:tcW w:type="dxa" w:w="1234"/>
          </w:tcPr>
          <w:p>
            <w:r>
              <w:rPr>
                <w:rFonts w:ascii="Calibri" w:hAnsi="Calibri"/>
                <w:sz w:val="22"/>
              </w:rPr>
              <w:t>$7.71B</w:t>
            </w:r>
          </w:p>
        </w:tc>
        <w:tc>
          <w:tcPr>
            <w:tcW w:type="dxa" w:w="1234"/>
          </w:tcPr>
          <w:p>
            <w:r>
              <w:rPr>
                <w:rFonts w:ascii="Calibri" w:hAnsi="Calibri"/>
                <w:sz w:val="22"/>
              </w:rPr>
              <w:t>$7.94B</w:t>
            </w:r>
          </w:p>
        </w:tc>
        <w:tc>
          <w:tcPr>
            <w:tcW w:type="dxa" w:w="1234"/>
          </w:tcPr>
          <w:p>
            <w:r>
              <w:rPr>
                <w:rFonts w:ascii="Calibri" w:hAnsi="Calibri"/>
                <w:sz w:val="22"/>
              </w:rPr>
              <w:t>$7.98B</w:t>
            </w:r>
          </w:p>
        </w:tc>
        <w:tc>
          <w:tcPr>
            <w:tcW w:type="dxa" w:w="1234"/>
          </w:tcPr>
          <w:p>
            <w:r>
              <w:rPr>
                <w:rFonts w:ascii="Calibri" w:hAnsi="Calibri"/>
                <w:sz w:val="22"/>
              </w:rPr>
              <w:t>+0.5%</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Adj. EBITDA ($B)</w:t>
            </w:r>
          </w:p>
        </w:tc>
        <w:tc>
          <w:tcPr>
            <w:tcW w:type="dxa" w:w="1234"/>
          </w:tcPr>
          <w:p>
            <w:r>
              <w:rPr>
                <w:rFonts w:ascii="Calibri" w:hAnsi="Calibri"/>
                <w:sz w:val="22"/>
              </w:rPr>
              <w:t>$1.076B</w:t>
            </w:r>
          </w:p>
        </w:tc>
        <w:tc>
          <w:tcPr>
            <w:tcW w:type="dxa" w:w="1234"/>
          </w:tcPr>
          <w:p>
            <w:r>
              <w:rPr>
                <w:rFonts w:ascii="Calibri" w:hAnsi="Calibri"/>
                <w:sz w:val="22"/>
              </w:rPr>
              <w:t>$1.213B</w:t>
            </w:r>
          </w:p>
        </w:tc>
        <w:tc>
          <w:tcPr>
            <w:tcW w:type="dxa" w:w="1234"/>
          </w:tcPr>
          <w:p>
            <w:r>
              <w:rPr>
                <w:rFonts w:ascii="Calibri" w:hAnsi="Calibri"/>
                <w:sz w:val="22"/>
              </w:rPr>
              <w:t>$1.152B</w:t>
            </w:r>
          </w:p>
        </w:tc>
        <w:tc>
          <w:tcPr>
            <w:tcW w:type="dxa" w:w="1234"/>
          </w:tcPr>
          <w:p>
            <w:r>
              <w:rPr>
                <w:rFonts w:ascii="Calibri" w:hAnsi="Calibri"/>
                <w:sz w:val="22"/>
              </w:rPr>
              <w:t>-5.0%</w:t>
            </w:r>
          </w:p>
        </w:tc>
        <w:tc>
          <w:tcPr>
            <w:tcW w:type="dxa" w:w="1234"/>
          </w:tcPr>
          <w:p>
            <w:r>
              <w:rPr>
                <w:rFonts w:ascii="Calibri" w:hAnsi="Calibri"/>
                <w:sz w:val="22"/>
              </w:rPr>
              <w:t>$1.1B–$1.2B</w:t>
            </w:r>
          </w:p>
        </w:tc>
        <w:tc>
          <w:tcPr>
            <w:tcW w:type="dxa" w:w="1234"/>
          </w:tcPr>
          <w:p>
            <w:r>
              <w:rPr>
                <w:rFonts w:ascii="Calibri" w:hAnsi="Calibri"/>
                <w:sz w:val="22"/>
              </w:rPr>
              <w:t>+0.1% vs. $1.15B mid</w:t>
            </w:r>
          </w:p>
        </w:tc>
      </w:tr>
      <w:tr>
        <w:tc>
          <w:tcPr>
            <w:tcW w:type="dxa" w:w="1234"/>
          </w:tcPr>
          <w:p>
            <w:r>
              <w:rPr>
                <w:rFonts w:ascii="Calibri" w:hAnsi="Calibri"/>
                <w:sz w:val="22"/>
              </w:rPr>
              <w:t>Adj. EBITDA Margin (%)</w:t>
            </w:r>
          </w:p>
        </w:tc>
        <w:tc>
          <w:tcPr>
            <w:tcW w:type="dxa" w:w="1234"/>
          </w:tcPr>
          <w:p>
            <w:r>
              <w:rPr>
                <w:rFonts w:ascii="Calibri" w:hAnsi="Calibri"/>
                <w:sz w:val="22"/>
              </w:rPr>
              <w:t>13.95%</w:t>
            </w:r>
          </w:p>
        </w:tc>
        <w:tc>
          <w:tcPr>
            <w:tcW w:type="dxa" w:w="1234"/>
          </w:tcPr>
          <w:p>
            <w:r>
              <w:rPr>
                <w:rFonts w:ascii="Calibri" w:hAnsi="Calibri"/>
                <w:sz w:val="22"/>
              </w:rPr>
              <w:t>15.28%</w:t>
            </w:r>
          </w:p>
        </w:tc>
        <w:tc>
          <w:tcPr>
            <w:tcW w:type="dxa" w:w="1234"/>
          </w:tcPr>
          <w:p>
            <w:r>
              <w:rPr>
                <w:rFonts w:ascii="Calibri" w:hAnsi="Calibri"/>
                <w:sz w:val="22"/>
              </w:rPr>
              <w:t>14.52%</w:t>
            </w:r>
          </w:p>
        </w:tc>
        <w:tc>
          <w:tcPr>
            <w:tcW w:type="dxa" w:w="1234"/>
          </w:tcPr>
          <w:p>
            <w:r>
              <w:rPr>
                <w:rFonts w:ascii="Calibri" w:hAnsi="Calibri"/>
                <w:sz w:val="22"/>
              </w:rPr>
              <w:t>-76 bps YoY</w:t>
            </w:r>
          </w:p>
        </w:tc>
        <w:tc>
          <w:tcPr>
            <w:tcW w:type="dxa" w:w="1234"/>
          </w:tcPr>
          <w:p>
            <w:r>
              <w:rPr>
                <w:rFonts w:ascii="Calibri" w:hAnsi="Calibri"/>
                <w:sz w:val="22"/>
              </w:rPr>
              <w:t>N/A (implied ~14.4–15.0%)</w:t>
            </w:r>
          </w:p>
        </w:tc>
        <w:tc>
          <w:tcPr>
            <w:tcW w:type="dxa" w:w="1234"/>
          </w:tcPr>
          <w:p>
            <w:r>
              <w:rPr>
                <w:rFonts w:ascii="Calibri" w:hAnsi="Calibri"/>
                <w:sz w:val="22"/>
              </w:rPr>
              <w:t>N/A</w:t>
            </w:r>
          </w:p>
        </w:tc>
      </w:tr>
      <w:tr>
        <w:tc>
          <w:tcPr>
            <w:tcW w:type="dxa" w:w="1234"/>
          </w:tcPr>
          <w:p>
            <w:r>
              <w:rPr>
                <w:rFonts w:ascii="Calibri" w:hAnsi="Calibri"/>
                <w:sz w:val="22"/>
              </w:rPr>
              <w:t>Adj. EPS — Diluted ($)</w:t>
            </w:r>
          </w:p>
        </w:tc>
        <w:tc>
          <w:tcPr>
            <w:tcW w:type="dxa" w:w="1234"/>
          </w:tcPr>
          <w:p>
            <w:r>
              <w:rPr>
                <w:rFonts w:ascii="Calibri" w:hAnsi="Calibri"/>
                <w:sz w:val="22"/>
              </w:rPr>
              <w:t>$0.334</w:t>
            </w:r>
          </w:p>
        </w:tc>
        <w:tc>
          <w:tcPr>
            <w:tcW w:type="dxa" w:w="1234"/>
          </w:tcPr>
          <w:p>
            <w:r>
              <w:rPr>
                <w:rFonts w:ascii="Calibri" w:hAnsi="Calibri"/>
                <w:sz w:val="22"/>
              </w:rPr>
              <w:t>$0.476</w:t>
            </w:r>
          </w:p>
        </w:tc>
        <w:tc>
          <w:tcPr>
            <w:tcW w:type="dxa" w:w="1234"/>
          </w:tcPr>
          <w:p>
            <w:r>
              <w:rPr>
                <w:rFonts w:ascii="Calibri" w:hAnsi="Calibri"/>
                <w:sz w:val="22"/>
              </w:rPr>
              <w:t>$0.431</w:t>
            </w:r>
          </w:p>
        </w:tc>
        <w:tc>
          <w:tcPr>
            <w:tcW w:type="dxa" w:w="1234"/>
          </w:tcPr>
          <w:p>
            <w:r>
              <w:rPr>
                <w:rFonts w:ascii="Calibri" w:hAnsi="Calibri"/>
                <w:sz w:val="22"/>
              </w:rPr>
              <w:t>-9.5%</w:t>
            </w:r>
          </w:p>
        </w:tc>
        <w:tc>
          <w:tcPr>
            <w:tcW w:type="dxa" w:w="1234"/>
          </w:tcPr>
          <w:p>
            <w:r>
              <w:rPr>
                <w:rFonts w:ascii="Calibri" w:hAnsi="Calibri"/>
                <w:sz w:val="22"/>
              </w:rPr>
              <w:t>N/A (not guided)</w:t>
            </w:r>
          </w:p>
        </w:tc>
        <w:tc>
          <w:tcPr>
            <w:tcW w:type="dxa" w:w="1234"/>
          </w:tcPr>
          <w:p>
            <w:r>
              <w:rPr>
                <w:rFonts w:ascii="Calibri" w:hAnsi="Calibri"/>
                <w:sz w:val="22"/>
              </w:rPr>
              <w:t>N/A</w:t>
            </w:r>
          </w:p>
        </w:tc>
      </w:tr>
      <w:tr>
        <w:tc>
          <w:tcPr>
            <w:tcW w:type="dxa" w:w="1234"/>
          </w:tcPr>
          <w:p>
            <w:r>
              <w:rPr>
                <w:rFonts w:ascii="Calibri" w:hAnsi="Calibri"/>
                <w:sz w:val="22"/>
              </w:rPr>
              <w:t>NA Adj. EBITDA ($B)</w:t>
            </w:r>
          </w:p>
        </w:tc>
        <w:tc>
          <w:tcPr>
            <w:tcW w:type="dxa" w:w="1234"/>
          </w:tcPr>
          <w:p>
            <w:r>
              <w:rPr>
                <w:rFonts w:ascii="Calibri" w:hAnsi="Calibri"/>
                <w:sz w:val="22"/>
              </w:rPr>
              <w:t>$0.597B</w:t>
            </w:r>
          </w:p>
        </w:tc>
        <w:tc>
          <w:tcPr>
            <w:tcW w:type="dxa" w:w="1234"/>
          </w:tcPr>
          <w:p>
            <w:r>
              <w:rPr>
                <w:rFonts w:ascii="Calibri" w:hAnsi="Calibri"/>
                <w:sz w:val="22"/>
              </w:rPr>
              <w:t>$0.752B</w:t>
            </w:r>
          </w:p>
        </w:tc>
        <w:tc>
          <w:tcPr>
            <w:tcW w:type="dxa" w:w="1234"/>
          </w:tcPr>
          <w:p>
            <w:r>
              <w:rPr>
                <w:rFonts w:ascii="Calibri" w:hAnsi="Calibri"/>
                <w:sz w:val="22"/>
              </w:rPr>
              <w:t>$0.696B</w:t>
            </w:r>
          </w:p>
        </w:tc>
        <w:tc>
          <w:tcPr>
            <w:tcW w:type="dxa" w:w="1234"/>
          </w:tcPr>
          <w:p>
            <w:r>
              <w:rPr>
                <w:rFonts w:ascii="Calibri" w:hAnsi="Calibri"/>
                <w:sz w:val="22"/>
              </w:rPr>
              <w:t>-7.4%</w:t>
            </w:r>
          </w:p>
        </w:tc>
        <w:tc>
          <w:tcPr>
            <w:tcW w:type="dxa" w:w="1234"/>
          </w:tcPr>
          <w:p>
            <w:r>
              <w:rPr>
                <w:rFonts w:ascii="Calibri" w:hAnsi="Calibri"/>
                <w:sz w:val="22"/>
              </w:rPr>
              <w:t>N/A (not guided separately)</w:t>
            </w:r>
          </w:p>
        </w:tc>
        <w:tc>
          <w:tcPr>
            <w:tcW w:type="dxa" w:w="1234"/>
          </w:tcPr>
          <w:p>
            <w:r>
              <w:rPr>
                <w:rFonts w:ascii="Calibri" w:hAnsi="Calibri"/>
                <w:sz w:val="22"/>
              </w:rPr>
              <w:t>N/A</w:t>
            </w:r>
          </w:p>
        </w:tc>
      </w:tr>
      <w:tr>
        <w:tc>
          <w:tcPr>
            <w:tcW w:type="dxa" w:w="1234"/>
          </w:tcPr>
          <w:p>
            <w:r>
              <w:rPr>
                <w:rFonts w:ascii="Calibri" w:hAnsi="Calibri"/>
                <w:sz w:val="22"/>
              </w:rPr>
              <w:t>EMEA/APAC Adj. EBITDA ($B)</w:t>
            </w:r>
          </w:p>
        </w:tc>
        <w:tc>
          <w:tcPr>
            <w:tcW w:type="dxa" w:w="1234"/>
          </w:tcPr>
          <w:p>
            <w:r>
              <w:rPr>
                <w:rFonts w:ascii="Calibri" w:hAnsi="Calibri"/>
                <w:sz w:val="22"/>
              </w:rPr>
              <w:t>$0.421B</w:t>
            </w:r>
          </w:p>
        </w:tc>
        <w:tc>
          <w:tcPr>
            <w:tcW w:type="dxa" w:w="1234"/>
          </w:tcPr>
          <w:p>
            <w:r>
              <w:rPr>
                <w:rFonts w:ascii="Calibri" w:hAnsi="Calibri"/>
                <w:sz w:val="22"/>
              </w:rPr>
              <w:t>$0.372B</w:t>
            </w:r>
          </w:p>
        </w:tc>
        <w:tc>
          <w:tcPr>
            <w:tcW w:type="dxa" w:w="1234"/>
          </w:tcPr>
          <w:p>
            <w:r>
              <w:rPr>
                <w:rFonts w:ascii="Calibri" w:hAnsi="Calibri"/>
                <w:sz w:val="22"/>
              </w:rPr>
              <w:t>$0.377B</w:t>
            </w:r>
          </w:p>
        </w:tc>
        <w:tc>
          <w:tcPr>
            <w:tcW w:type="dxa" w:w="1234"/>
          </w:tcPr>
          <w:p>
            <w:r>
              <w:rPr>
                <w:rFonts w:ascii="Calibri" w:hAnsi="Calibri"/>
                <w:sz w:val="22"/>
              </w:rPr>
              <w:t>+1.3%</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 — Analyst ($M)</w:t>
            </w:r>
          </w:p>
        </w:tc>
        <w:tc>
          <w:tcPr>
            <w:tcW w:type="dxa" w:w="1234"/>
          </w:tcPr>
          <w:p>
            <w:r>
              <w:rPr>
                <w:rFonts w:ascii="Calibri" w:hAnsi="Calibri"/>
                <w:sz w:val="22"/>
              </w:rPr>
              <w:t>-$421.5M</w:t>
            </w:r>
          </w:p>
        </w:tc>
        <w:tc>
          <w:tcPr>
            <w:tcW w:type="dxa" w:w="1234"/>
          </w:tcPr>
          <w:p>
            <w:r>
              <w:rPr>
                <w:rFonts w:ascii="Calibri" w:hAnsi="Calibri"/>
                <w:sz w:val="22"/>
              </w:rPr>
              <w:t>$387.0M</w:t>
            </w:r>
          </w:p>
        </w:tc>
        <w:tc>
          <w:tcPr>
            <w:tcW w:type="dxa" w:w="1234"/>
          </w:tcPr>
          <w:p>
            <w:r>
              <w:rPr>
                <w:rFonts w:ascii="Calibri" w:hAnsi="Calibri"/>
                <w:sz w:val="22"/>
              </w:rPr>
              <w:t>$184.9M</w:t>
            </w:r>
          </w:p>
        </w:tc>
        <w:tc>
          <w:tcPr>
            <w:tcW w:type="dxa" w:w="1234"/>
          </w:tcPr>
          <w:p>
            <w:r>
              <w:rPr>
                <w:rFonts w:ascii="Calibri" w:hAnsi="Calibri"/>
                <w:sz w:val="22"/>
              </w:rPr>
              <w:t>N/M (vs. prior year)</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figures in USD. Q2 2026 Consensus as of July 28, 2026. Q2 2026 guidance provided on Q1 2026 earnings call (April 30, 2026). NA = North America. EMEA/APAC = Europe, Middle East, Africa &amp; Asia Pacific.</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$1.076B</w:t>
            </w:r>
          </w:p>
        </w:tc>
        <w:tc>
          <w:tcPr>
            <w:tcW w:type="dxa" w:w="1728"/>
          </w:tcPr>
          <w:p>
            <w:r>
              <w:rPr>
                <w:rFonts w:ascii="Calibri" w:hAnsi="Calibri"/>
                <w:sz w:val="22"/>
              </w:rPr>
              <w:t>$1.144B</w:t>
            </w:r>
          </w:p>
        </w:tc>
        <w:tc>
          <w:tcPr>
            <w:tcW w:type="dxa" w:w="1728"/>
          </w:tcPr>
          <w:p>
            <w:r>
              <w:rPr>
                <w:rFonts w:ascii="Calibri" w:hAnsi="Calibri"/>
                <w:sz w:val="22"/>
              </w:rPr>
              <w:t>-5.9%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$1.172B</w:t>
            </w:r>
          </w:p>
        </w:tc>
        <w:tc>
          <w:tcPr>
            <w:tcW w:type="dxa" w:w="1728"/>
          </w:tcPr>
          <w:p>
            <w:r>
              <w:rPr>
                <w:rFonts w:ascii="Calibri" w:hAnsi="Calibri"/>
                <w:sz w:val="22"/>
              </w:rPr>
              <w:t>$1.222B</w:t>
            </w:r>
          </w:p>
        </w:tc>
        <w:tc>
          <w:tcPr>
            <w:tcW w:type="dxa" w:w="1728"/>
          </w:tcPr>
          <w:p>
            <w:r>
              <w:rPr>
                <w:rFonts w:ascii="Calibri" w:hAnsi="Calibri"/>
                <w:sz w:val="22"/>
              </w:rPr>
              <w:t>-4.1%</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$1.302B</w:t>
            </w:r>
          </w:p>
        </w:tc>
        <w:tc>
          <w:tcPr>
            <w:tcW w:type="dxa" w:w="1728"/>
          </w:tcPr>
          <w:p>
            <w:r>
              <w:rPr>
                <w:rFonts w:ascii="Calibri" w:hAnsi="Calibri"/>
                <w:sz w:val="22"/>
              </w:rPr>
              <w:t>$1.310B</w:t>
            </w:r>
          </w:p>
        </w:tc>
        <w:tc>
          <w:tcPr>
            <w:tcW w:type="dxa" w:w="1728"/>
          </w:tcPr>
          <w:p>
            <w:r>
              <w:rPr>
                <w:rFonts w:ascii="Calibri" w:hAnsi="Calibri"/>
                <w:sz w:val="22"/>
              </w:rPr>
              <w:t>-0.6%</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$1.213B</w:t>
            </w:r>
          </w:p>
        </w:tc>
        <w:tc>
          <w:tcPr>
            <w:tcW w:type="dxa" w:w="1728"/>
          </w:tcPr>
          <w:p>
            <w:r>
              <w:rPr>
                <w:rFonts w:ascii="Calibri" w:hAnsi="Calibri"/>
                <w:sz w:val="22"/>
              </w:rPr>
              <w:t>$1.214B</w:t>
            </w:r>
          </w:p>
        </w:tc>
        <w:tc>
          <w:tcPr>
            <w:tcW w:type="dxa" w:w="1728"/>
          </w:tcPr>
          <w:p>
            <w:r>
              <w:rPr>
                <w:rFonts w:ascii="Calibri" w:hAnsi="Calibri"/>
                <w:sz w:val="22"/>
              </w:rPr>
              <w:t>-0.1%</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$1.252B</w:t>
            </w:r>
          </w:p>
        </w:tc>
        <w:tc>
          <w:tcPr>
            <w:tcW w:type="dxa" w:w="1728"/>
          </w:tcPr>
          <w:p>
            <w:r>
              <w:rPr>
                <w:rFonts w:ascii="Calibri" w:hAnsi="Calibri"/>
                <w:sz w:val="22"/>
              </w:rPr>
              <w:t>$1.243B</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$1.166B</w:t>
            </w:r>
          </w:p>
        </w:tc>
        <w:tc>
          <w:tcPr>
            <w:tcW w:type="dxa" w:w="1728"/>
          </w:tcPr>
          <w:p>
            <w:r>
              <w:rPr>
                <w:rFonts w:ascii="Calibri" w:hAnsi="Calibri"/>
                <w:sz w:val="22"/>
              </w:rPr>
              <w:t>$1.212B</w:t>
            </w:r>
          </w:p>
        </w:tc>
        <w:tc>
          <w:tcPr>
            <w:tcW w:type="dxa" w:w="1728"/>
          </w:tcPr>
          <w:p>
            <w:r>
              <w:rPr>
                <w:rFonts w:ascii="Calibri" w:hAnsi="Calibri"/>
                <w:sz w:val="22"/>
              </w:rPr>
              <w:t>-3.8%</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$1.265B</w:t>
            </w:r>
          </w:p>
        </w:tc>
        <w:tc>
          <w:tcPr>
            <w:tcW w:type="dxa" w:w="1728"/>
          </w:tcPr>
          <w:p>
            <w:r>
              <w:rPr>
                <w:rFonts w:ascii="Calibri" w:hAnsi="Calibri"/>
                <w:sz w:val="22"/>
              </w:rPr>
              <w:t>$1.230B</w:t>
            </w:r>
          </w:p>
        </w:tc>
        <w:tc>
          <w:tcPr>
            <w:tcW w:type="dxa" w:w="1728"/>
          </w:tcPr>
          <w:p>
            <w:r>
              <w:rPr>
                <w:rFonts w:ascii="Calibri" w:hAnsi="Calibri"/>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$0.480B</w:t>
            </w:r>
          </w:p>
        </w:tc>
        <w:tc>
          <w:tcPr>
            <w:tcW w:type="dxa" w:w="1728"/>
          </w:tcPr>
          <w:p>
            <w:r>
              <w:rPr>
                <w:rFonts w:ascii="Calibri" w:hAnsi="Calibri"/>
                <w:sz w:val="22"/>
              </w:rPr>
              <w:t>N/A (merger close)</w:t>
            </w:r>
          </w:p>
        </w:tc>
        <w:tc>
          <w:tcPr>
            <w:tcW w:type="dxa" w:w="1728"/>
          </w:tcPr>
          <w:p>
            <w:r>
              <w:rPr>
                <w:rFonts w:ascii="Calibri" w:hAnsi="Calibri"/>
                <w:sz w:val="22"/>
              </w:rPr>
              <w:t>N/A</w:t>
            </w:r>
          </w:p>
        </w:tc>
        <w:tc>
          <w:tcPr>
            <w:tcW w:type="dxa" w:w="1728"/>
          </w:tcPr>
          <w:p>
            <w:r>
              <w:rPr>
                <w:rFonts w:ascii="Calibri" w:hAnsi="Calibri"/>
                <w:sz w:val="22"/>
              </w:rPr>
              <w:t>N/A (partial qtr)</w:t>
            </w:r>
          </w:p>
        </w:tc>
      </w:tr>
    </w:tbl>
    <w:p>
      <w:r>
        <w:rPr>
          <w:rFonts w:ascii="Calibri" w:hAnsi="Calibri"/>
          <w:b/>
          <w:color w:val="525866"/>
          <w:sz w:val="22"/>
        </w:rPr>
        <w:t>KPI 2: Adjusted 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$0.334</w:t>
            </w:r>
          </w:p>
        </w:tc>
        <w:tc>
          <w:tcPr>
            <w:tcW w:type="dxa" w:w="1728"/>
          </w:tcPr>
          <w:p>
            <w:r>
              <w:rPr>
                <w:rFonts w:ascii="Calibri" w:hAnsi="Calibri"/>
                <w:sz w:val="22"/>
              </w:rPr>
              <w:t>$0.400</w:t>
            </w:r>
          </w:p>
        </w:tc>
        <w:tc>
          <w:tcPr>
            <w:tcW w:type="dxa" w:w="1728"/>
          </w:tcPr>
          <w:p>
            <w:r>
              <w:rPr>
                <w:rFonts w:ascii="Calibri" w:hAnsi="Calibri"/>
                <w:sz w:val="22"/>
              </w:rPr>
              <w:t>-16.5%</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$0.336</w:t>
            </w:r>
          </w:p>
        </w:tc>
        <w:tc>
          <w:tcPr>
            <w:tcW w:type="dxa" w:w="1728"/>
          </w:tcPr>
          <w:p>
            <w:r>
              <w:rPr>
                <w:rFonts w:ascii="Calibri" w:hAnsi="Calibri"/>
                <w:sz w:val="22"/>
              </w:rPr>
              <w:t>$0.582</w:t>
            </w:r>
          </w:p>
        </w:tc>
        <w:tc>
          <w:tcPr>
            <w:tcW w:type="dxa" w:w="1728"/>
          </w:tcPr>
          <w:p>
            <w:r>
              <w:rPr>
                <w:rFonts w:ascii="Calibri" w:hAnsi="Calibri"/>
                <w:sz w:val="22"/>
              </w:rPr>
              <w:t>-42.3%</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$0.581</w:t>
            </w:r>
          </w:p>
        </w:tc>
        <w:tc>
          <w:tcPr>
            <w:tcW w:type="dxa" w:w="1728"/>
          </w:tcPr>
          <w:p>
            <w:r>
              <w:rPr>
                <w:rFonts w:ascii="Calibri" w:hAnsi="Calibri"/>
                <w:sz w:val="22"/>
              </w:rPr>
              <w:t>$0.710</w:t>
            </w:r>
          </w:p>
        </w:tc>
        <w:tc>
          <w:tcPr>
            <w:tcW w:type="dxa" w:w="1728"/>
          </w:tcPr>
          <w:p>
            <w:r>
              <w:rPr>
                <w:rFonts w:ascii="Calibri" w:hAnsi="Calibri"/>
                <w:sz w:val="22"/>
              </w:rPr>
              <w:t>-18.2%</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$0.476</w:t>
            </w:r>
          </w:p>
        </w:tc>
        <w:tc>
          <w:tcPr>
            <w:tcW w:type="dxa" w:w="1728"/>
          </w:tcPr>
          <w:p>
            <w:r>
              <w:rPr>
                <w:rFonts w:ascii="Calibri" w:hAnsi="Calibri"/>
                <w:sz w:val="22"/>
              </w:rPr>
              <w:t>$0.703</w:t>
            </w:r>
          </w:p>
        </w:tc>
        <w:tc>
          <w:tcPr>
            <w:tcW w:type="dxa" w:w="1728"/>
          </w:tcPr>
          <w:p>
            <w:r>
              <w:rPr>
                <w:rFonts w:ascii="Calibri" w:hAnsi="Calibri"/>
                <w:sz w:val="22"/>
              </w:rPr>
              <w:t>-32.3%</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$0.774</w:t>
            </w:r>
          </w:p>
        </w:tc>
        <w:tc>
          <w:tcPr>
            <w:tcW w:type="dxa" w:w="1728"/>
          </w:tcPr>
          <w:p>
            <w:r>
              <w:rPr>
                <w:rFonts w:ascii="Calibri" w:hAnsi="Calibri"/>
                <w:sz w:val="22"/>
              </w:rPr>
              <w:t>$0.692</w:t>
            </w:r>
          </w:p>
        </w:tc>
        <w:tc>
          <w:tcPr>
            <w:tcW w:type="dxa" w:w="1728"/>
          </w:tcPr>
          <w:p>
            <w:r>
              <w:rPr>
                <w:rFonts w:ascii="Calibri" w:hAnsi="Calibri"/>
                <w:sz w:val="22"/>
              </w:rPr>
              <w:t>+11.8%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$0.426</w:t>
            </w:r>
          </w:p>
        </w:tc>
        <w:tc>
          <w:tcPr>
            <w:tcW w:type="dxa" w:w="1728"/>
          </w:tcPr>
          <w:p>
            <w:r>
              <w:rPr>
                <w:rFonts w:ascii="Calibri" w:hAnsi="Calibri"/>
                <w:sz w:val="22"/>
              </w:rPr>
              <w:t>$0.530</w:t>
            </w:r>
          </w:p>
        </w:tc>
        <w:tc>
          <w:tcPr>
            <w:tcW w:type="dxa" w:w="1728"/>
          </w:tcPr>
          <w:p>
            <w:r>
              <w:rPr>
                <w:rFonts w:ascii="Calibri" w:hAnsi="Calibri"/>
                <w:sz w:val="22"/>
              </w:rPr>
              <w:t>-19.6%</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$0.505</w:t>
            </w:r>
          </w:p>
        </w:tc>
        <w:tc>
          <w:tcPr>
            <w:tcW w:type="dxa" w:w="1728"/>
          </w:tcPr>
          <w:p>
            <w:r>
              <w:rPr>
                <w:rFonts w:ascii="Calibri" w:hAnsi="Calibri"/>
                <w:sz w:val="22"/>
              </w:rPr>
              <w:t>$0.724</w:t>
            </w:r>
          </w:p>
        </w:tc>
        <w:tc>
          <w:tcPr>
            <w:tcW w:type="dxa" w:w="1728"/>
          </w:tcPr>
          <w:p>
            <w:r>
              <w:rPr>
                <w:rFonts w:ascii="Calibri" w:hAnsi="Calibri"/>
                <w:sz w:val="22"/>
              </w:rPr>
              <w:t>-30.2%</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$0.734</w:t>
            </w:r>
          </w:p>
        </w:tc>
        <w:tc>
          <w:tcPr>
            <w:tcW w:type="dxa" w:w="1728"/>
          </w:tcPr>
          <w:p>
            <w:r>
              <w:rPr>
                <w:rFonts w:ascii="Calibri" w:hAnsi="Calibri"/>
                <w:sz w:val="22"/>
              </w:rPr>
              <w:t>$0.791</w:t>
            </w:r>
          </w:p>
        </w:tc>
        <w:tc>
          <w:tcPr>
            <w:tcW w:type="dxa" w:w="1728"/>
          </w:tcPr>
          <w:p>
            <w:r>
              <w:rPr>
                <w:rFonts w:ascii="Calibri" w:hAnsi="Calibri"/>
                <w:sz w:val="22"/>
              </w:rPr>
              <w:t>-7.2%</w:t>
            </w:r>
          </w:p>
        </w:tc>
        <w:tc>
          <w:tcPr>
            <w:tcW w:type="dxa" w:w="1728"/>
          </w:tcPr>
          <w:p>
            <w:r>
              <w:rPr>
                <w:rFonts w:ascii="Calibri" w:hAnsi="Calibri"/>
                <w:b/>
                <w:color w:val="E5484D"/>
                <w:sz w:val="22"/>
              </w:rPr>
              <w:t>MISS</w:t>
            </w:r>
          </w:p>
        </w:tc>
      </w:tr>
    </w:tbl>
    <w:p>
      <w:r>
        <w:rPr>
          <w:rFonts w:ascii="Calibri" w:hAnsi="Calibri"/>
          <w:i/>
          <w:color w:val="525866"/>
          <w:sz w:val="22"/>
        </w:rPr>
        <w:t xml:space="preserve">Source: Visible Alpha Consensus and Actuals Data. </w:t>
      </w:r>
      <w:r>
        <w:rPr>
          <w:rFonts w:ascii="Calibri" w:hAnsi="Calibri"/>
          <w:i/>
          <w:color w:val="525866"/>
          <w:sz w:val="22"/>
        </w:rPr>
        <w:t>Pattern: SW has consistently missed Adjusted EPS consensus since the merger close, reflecting integration costs, energy headwinds, and a structurally higher D&amp;A load; EBITDA misses have been more modest and concentrated in weather/downtime quarters (Q1 2026, Q4 2025). The Q2 2026 EPS bar of $0.43 is the lowest in the post-merger history, creating a more achievable hurdle.</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Adjusted EBITDA guidance of $5.0B–$5.3B was reaffirmed on the Q1 call despite the weather miss, and no post-earnings guidance revision has been issued; the key shift since February is a materially higher energy cost assumption ($270–$290M vs. ~$80M originally), which management has absorbed within the unchanged FY range by pointing to stronger demand, price increases, and lower labor headwinds.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EBITDA</w:t>
            </w:r>
          </w:p>
        </w:tc>
        <w:tc>
          <w:tcPr>
            <w:tcW w:type="dxa" w:w="1728"/>
          </w:tcPr>
          <w:p>
            <w:r>
              <w:rPr>
                <w:rFonts w:ascii="Calibri" w:hAnsi="Calibri"/>
                <w:sz w:val="22"/>
              </w:rPr>
              <w:t>$1.1B – $1.2B</w:t>
            </w:r>
          </w:p>
        </w:tc>
        <w:tc>
          <w:tcPr>
            <w:tcW w:type="dxa" w:w="1728"/>
          </w:tcPr>
          <w:p>
            <w:r>
              <w:rPr>
                <w:rFonts w:ascii="Calibri" w:hAnsi="Calibri"/>
                <w:sz w:val="22"/>
              </w:rPr>
              <w:t>—</w:t>
            </w:r>
          </w:p>
        </w:tc>
        <w:tc>
          <w:tcPr>
            <w:tcW w:type="dxa" w:w="1728"/>
          </w:tcPr>
          <w:p>
            <w:r>
              <w:rPr>
                <w:rFonts w:ascii="Calibri" w:hAnsi="Calibri"/>
                <w:sz w:val="22"/>
              </w:rPr>
              <w:t>$1.152B</w:t>
            </w:r>
          </w:p>
        </w:tc>
        <w:tc>
          <w:tcPr>
            <w:tcW w:type="dxa" w:w="1728"/>
          </w:tcPr>
          <w:p>
            <w:r>
              <w:rPr>
                <w:rFonts w:ascii="Calibri" w:hAnsi="Calibri"/>
                <w:sz w:val="22"/>
              </w:rPr>
              <w:t>Unchanged; consensus at midpoint. No post-earnings update.</w:t>
            </w:r>
          </w:p>
        </w:tc>
      </w:tr>
      <w:tr>
        <w:tc>
          <w:tcPr>
            <w:tcW w:type="dxa" w:w="1728"/>
          </w:tcPr>
          <w:p>
            <w:r>
              <w:rPr>
                <w:rFonts w:ascii="Calibri" w:hAnsi="Calibri"/>
                <w:sz w:val="22"/>
              </w:rPr>
              <w:t>FY 2026 Adj. EBITDA</w:t>
            </w:r>
          </w:p>
        </w:tc>
        <w:tc>
          <w:tcPr>
            <w:tcW w:type="dxa" w:w="1728"/>
          </w:tcPr>
          <w:p>
            <w:r>
              <w:rPr>
                <w:rFonts w:ascii="Calibri" w:hAnsi="Calibri"/>
                <w:sz w:val="22"/>
              </w:rPr>
              <w:t>$5.0B – $5.3B</w:t>
            </w:r>
          </w:p>
        </w:tc>
        <w:tc>
          <w:tcPr>
            <w:tcW w:type="dxa" w:w="1728"/>
          </w:tcPr>
          <w:p>
            <w:r>
              <w:rPr>
                <w:rFonts w:ascii="Calibri" w:hAnsi="Calibri"/>
                <w:sz w:val="22"/>
              </w:rPr>
              <w:t>—</w:t>
            </w:r>
          </w:p>
        </w:tc>
        <w:tc>
          <w:tcPr>
            <w:tcW w:type="dxa" w:w="1728"/>
          </w:tcPr>
          <w:p>
            <w:r>
              <w:rPr>
                <w:rFonts w:ascii="Calibri" w:hAnsi="Calibri"/>
                <w:sz w:val="22"/>
              </w:rPr>
              <w:t>$5.064B</w:t>
            </w:r>
          </w:p>
        </w:tc>
        <w:tc>
          <w:tcPr>
            <w:tcW w:type="dxa" w:w="1728"/>
          </w:tcPr>
          <w:p>
            <w:r>
              <w:rPr>
                <w:rFonts w:ascii="Calibri" w:hAnsi="Calibri"/>
                <w:sz w:val="22"/>
              </w:rPr>
              <w:t>Reaffirmed on Q1 call despite weather miss. Consensus at low end of range.</w:t>
            </w:r>
          </w:p>
        </w:tc>
      </w:tr>
      <w:tr>
        <w:tc>
          <w:tcPr>
            <w:tcW w:type="dxa" w:w="1728"/>
          </w:tcPr>
          <w:p>
            <w:r>
              <w:rPr>
                <w:rFonts w:ascii="Calibri" w:hAnsi="Calibri"/>
                <w:sz w:val="22"/>
              </w:rPr>
              <w:t>FY 2026 Energy Cost Headwind</w:t>
            </w:r>
          </w:p>
        </w:tc>
        <w:tc>
          <w:tcPr>
            <w:tcW w:type="dxa" w:w="1728"/>
          </w:tcPr>
          <w:p>
            <w:r>
              <w:rPr>
                <w:rFonts w:ascii="Calibri" w:hAnsi="Calibri"/>
                <w:sz w:val="22"/>
              </w:rPr>
              <w:t>~$80M YoY (Feb guidance)</w:t>
            </w:r>
          </w:p>
        </w:tc>
        <w:tc>
          <w:tcPr>
            <w:tcW w:type="dxa" w:w="1728"/>
          </w:tcPr>
          <w:p>
            <w:r>
              <w:rPr>
                <w:rFonts w:ascii="Calibri" w:hAnsi="Calibri"/>
                <w:sz w:val="22"/>
              </w:rPr>
              <w:t>$270M–$290M YoY (revised Apr 30)</w:t>
            </w:r>
          </w:p>
        </w:tc>
        <w:tc>
          <w:tcPr>
            <w:tcW w:type="dxa" w:w="1728"/>
          </w:tcPr>
          <w:p>
            <w:r>
              <w:rPr>
                <w:rFonts w:ascii="Calibri" w:hAnsi="Calibri"/>
                <w:sz w:val="22"/>
              </w:rPr>
              <w:t>N/A (cost line)</w:t>
            </w:r>
          </w:p>
        </w:tc>
        <w:tc>
          <w:tcPr>
            <w:tcW w:type="dxa" w:w="1728"/>
          </w:tcPr>
          <w:p>
            <w:r>
              <w:rPr>
                <w:rFonts w:ascii="Calibri" w:hAnsi="Calibri"/>
                <w:sz w:val="22"/>
              </w:rPr>
              <w:t>↑ Materially raised on Q1 call; Middle East conflict cited. Key risk to FY guide.</w:t>
            </w:r>
          </w:p>
        </w:tc>
      </w:tr>
      <w:tr>
        <w:tc>
          <w:tcPr>
            <w:tcW w:type="dxa" w:w="1728"/>
          </w:tcPr>
          <w:p>
            <w:r>
              <w:rPr>
                <w:rFonts w:ascii="Calibri" w:hAnsi="Calibri"/>
                <w:sz w:val="22"/>
              </w:rPr>
              <w:t>FY 2026 Labor Headwind</w:t>
            </w:r>
          </w:p>
        </w:tc>
        <w:tc>
          <w:tcPr>
            <w:tcW w:type="dxa" w:w="1728"/>
          </w:tcPr>
          <w:p>
            <w:r>
              <w:rPr>
                <w:rFonts w:ascii="Calibri" w:hAnsi="Calibri"/>
                <w:sz w:val="22"/>
              </w:rPr>
              <w:t>~$100M YoY (Feb guidance)</w:t>
            </w:r>
          </w:p>
        </w:tc>
        <w:tc>
          <w:tcPr>
            <w:tcW w:type="dxa" w:w="1728"/>
          </w:tcPr>
          <w:p>
            <w:r>
              <w:rPr>
                <w:rFonts w:ascii="Calibri" w:hAnsi="Calibri"/>
                <w:sz w:val="22"/>
              </w:rPr>
              <w:t>~$50M YoY (revised Apr 30)</w:t>
            </w:r>
          </w:p>
        </w:tc>
        <w:tc>
          <w:tcPr>
            <w:tcW w:type="dxa" w:w="1728"/>
          </w:tcPr>
          <w:p>
            <w:r>
              <w:rPr>
                <w:rFonts w:ascii="Calibri" w:hAnsi="Calibri"/>
                <w:sz w:val="22"/>
              </w:rPr>
              <w:t>N/A (cost line)</w:t>
            </w:r>
          </w:p>
        </w:tc>
        <w:tc>
          <w:tcPr>
            <w:tcW w:type="dxa" w:w="1728"/>
          </w:tcPr>
          <w:p>
            <w:r>
              <w:rPr>
                <w:rFonts w:ascii="Calibri" w:hAnsi="Calibri"/>
                <w:sz w:val="22"/>
              </w:rPr>
              <w:t>↓ Lowered on Q1 call; partially offsets energy headwind.</w:t>
            </w:r>
          </w:p>
        </w:tc>
      </w:tr>
      <w:tr>
        <w:tc>
          <w:tcPr>
            <w:tcW w:type="dxa" w:w="1728"/>
          </w:tcPr>
          <w:p>
            <w:r>
              <w:rPr>
                <w:rFonts w:ascii="Calibri" w:hAnsi="Calibri"/>
                <w:sz w:val="22"/>
              </w:rPr>
              <w:t>FY 2026 Freight Headwind</w:t>
            </w:r>
          </w:p>
        </w:tc>
        <w:tc>
          <w:tcPr>
            <w:tcW w:type="dxa" w:w="1728"/>
          </w:tcPr>
          <w:p>
            <w:r>
              <w:rPr>
                <w:rFonts w:ascii="Calibri" w:hAnsi="Calibri"/>
                <w:sz w:val="22"/>
              </w:rPr>
              <w:t>Modest (not quantified in Feb)</w:t>
            </w:r>
          </w:p>
        </w:tc>
        <w:tc>
          <w:tcPr>
            <w:tcW w:type="dxa" w:w="1728"/>
          </w:tcPr>
          <w:p>
            <w:r>
              <w:rPr>
                <w:rFonts w:ascii="Calibri" w:hAnsi="Calibri"/>
                <w:sz w:val="22"/>
              </w:rPr>
              <w:t>~$50M YoY (revised Apr 30)</w:t>
            </w:r>
          </w:p>
        </w:tc>
        <w:tc>
          <w:tcPr>
            <w:tcW w:type="dxa" w:w="1728"/>
          </w:tcPr>
          <w:p>
            <w:r>
              <w:rPr>
                <w:rFonts w:ascii="Calibri" w:hAnsi="Calibri"/>
                <w:sz w:val="22"/>
              </w:rPr>
              <w:t>N/A (cost line)</w:t>
            </w:r>
          </w:p>
        </w:tc>
        <w:tc>
          <w:tcPr>
            <w:tcW w:type="dxa" w:w="1728"/>
          </w:tcPr>
          <w:p>
            <w:r>
              <w:rPr>
                <w:rFonts w:ascii="Calibri" w:hAnsi="Calibri"/>
                <w:sz w:val="22"/>
              </w:rPr>
              <w:t>↑ Raised on Q1 call; elevated freight confirmed by peers PKG and SON.</w:t>
            </w:r>
          </w:p>
        </w:tc>
      </w:tr>
      <w:tr>
        <w:tc>
          <w:tcPr>
            <w:tcW w:type="dxa" w:w="1728"/>
          </w:tcPr>
          <w:p>
            <w:r>
              <w:rPr>
                <w:rFonts w:ascii="Calibri" w:hAnsi="Calibri"/>
                <w:sz w:val="22"/>
              </w:rPr>
              <w:t>FY 2026 Fiber Tailwind (OCC)</w:t>
            </w:r>
          </w:p>
        </w:tc>
        <w:tc>
          <w:tcPr>
            <w:tcW w:type="dxa" w:w="1728"/>
          </w:tcPr>
          <w:p>
            <w:r>
              <w:rPr>
                <w:rFonts w:ascii="Calibri" w:hAnsi="Calibri"/>
                <w:sz w:val="22"/>
              </w:rPr>
              <w:t>~$50M YoY tailwind</w:t>
            </w:r>
          </w:p>
        </w:tc>
        <w:tc>
          <w:tcPr>
            <w:tcW w:type="dxa" w:w="1728"/>
          </w:tcPr>
          <w:p>
            <w:r>
              <w:rPr>
                <w:rFonts w:ascii="Calibri" w:hAnsi="Calibri"/>
                <w:sz w:val="22"/>
              </w:rPr>
              <w:t>—</w:t>
            </w:r>
          </w:p>
        </w:tc>
        <w:tc>
          <w:tcPr>
            <w:tcW w:type="dxa" w:w="1728"/>
          </w:tcPr>
          <w:p>
            <w:r>
              <w:rPr>
                <w:rFonts w:ascii="Calibri" w:hAnsi="Calibri"/>
                <w:sz w:val="22"/>
              </w:rPr>
              <w:t>N/A (cost line)</w:t>
            </w:r>
          </w:p>
        </w:tc>
        <w:tc>
          <w:tcPr>
            <w:tcW w:type="dxa" w:w="1728"/>
          </w:tcPr>
          <w:p>
            <w:r>
              <w:rPr>
                <w:rFonts w:ascii="Calibri" w:hAnsi="Calibri"/>
                <w:sz w:val="22"/>
              </w:rPr>
              <w:t>Broadly unchanged; OCC rising per PKG (up ~70% YTD) is a watch item.</w:t>
            </w:r>
          </w:p>
        </w:tc>
      </w:tr>
      <w:tr>
        <w:tc>
          <w:tcPr>
            <w:tcW w:type="dxa" w:w="1728"/>
          </w:tcPr>
          <w:p>
            <w:r>
              <w:rPr>
                <w:rFonts w:ascii="Calibri" w:hAnsi="Calibri"/>
                <w:sz w:val="22"/>
              </w:rPr>
              <w:t>FY 2026 CapEx</w:t>
            </w:r>
          </w:p>
        </w:tc>
        <w:tc>
          <w:tcPr>
            <w:tcW w:type="dxa" w:w="1728"/>
          </w:tcPr>
          <w:p>
            <w:r>
              <w:rPr>
                <w:rFonts w:ascii="Calibri" w:hAnsi="Calibri"/>
                <w:sz w:val="22"/>
              </w:rPr>
              <w:t>$2.4B–$2.5B</w:t>
            </w:r>
          </w:p>
        </w:tc>
        <w:tc>
          <w:tcPr>
            <w:tcW w:type="dxa" w:w="1728"/>
          </w:tcPr>
          <w:p>
            <w:r>
              <w:rPr>
                <w:rFonts w:ascii="Calibri" w:hAnsi="Calibri"/>
                <w:sz w:val="22"/>
              </w:rPr>
              <w:t>—</w:t>
            </w:r>
          </w:p>
        </w:tc>
        <w:tc>
          <w:tcPr>
            <w:tcW w:type="dxa" w:w="1728"/>
          </w:tcPr>
          <w:p>
            <w:r>
              <w:rPr>
                <w:rFonts w:ascii="Calibri" w:hAnsi="Calibri"/>
                <w:sz w:val="22"/>
              </w:rPr>
              <w:t>$2.458B</w:t>
            </w:r>
          </w:p>
        </w:tc>
        <w:tc>
          <w:tcPr>
            <w:tcW w:type="dxa" w:w="1728"/>
          </w:tcPr>
          <w:p>
            <w:r>
              <w:rPr>
                <w:rFonts w:ascii="Calibri" w:hAnsi="Calibri"/>
                <w:sz w:val="22"/>
              </w:rPr>
              <w:t>Unchanged; consensus in line with guidance range.</w:t>
            </w:r>
          </w:p>
        </w:tc>
      </w:tr>
      <w:tr>
        <w:tc>
          <w:tcPr>
            <w:tcW w:type="dxa" w:w="1728"/>
          </w:tcPr>
          <w:p>
            <w:r>
              <w:rPr>
                <w:rFonts w:ascii="Calibri" w:hAnsi="Calibri"/>
                <w:sz w:val="22"/>
              </w:rPr>
              <w:t>NA Price Increase #1 ($50/ton)</w:t>
            </w:r>
          </w:p>
        </w:tc>
        <w:tc>
          <w:tcPr>
            <w:tcW w:type="dxa" w:w="1728"/>
          </w:tcPr>
          <w:p>
            <w:r>
              <w:rPr>
                <w:rFonts w:ascii="Calibri" w:hAnsi="Calibri"/>
                <w:sz w:val="22"/>
              </w:rPr>
              <w:t>Full implementation by July 1,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On track per Q1 call; PKG confirmed strong corrugated pricing in Q2.</w:t>
            </w:r>
          </w:p>
        </w:tc>
      </w:tr>
      <w:tr>
        <w:tc>
          <w:tcPr>
            <w:tcW w:type="dxa" w:w="1728"/>
          </w:tcPr>
          <w:p>
            <w:r>
              <w:rPr>
                <w:rFonts w:ascii="Calibri" w:hAnsi="Calibri"/>
                <w:sz w:val="22"/>
              </w:rPr>
              <w:t>NA Price Increase #2 ($50/ton)</w:t>
            </w:r>
          </w:p>
        </w:tc>
        <w:tc>
          <w:tcPr>
            <w:tcW w:type="dxa" w:w="1728"/>
          </w:tcPr>
          <w:p>
            <w:r>
              <w:rPr>
                <w:rFonts w:ascii="Calibri" w:hAnsi="Calibri"/>
                <w:sz w:val="22"/>
              </w:rPr>
              <w:t>Full implementation by September 2026 (if successful)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Early days at Q1 call; key Q2 data point to watch.</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 Q2 EBITDA up ~1.2% and FY EBITDA up ~0.6% — consistent with the improving demand narrative but not yet pricing in full price realization. Notably, FY EPS estimates have been revised </w:t>
      </w:r>
      <w:r>
        <w:rPr>
          <w:rFonts w:ascii="Calibri" w:hAnsi="Calibri"/>
          <w:b/>
          <w:color w:val="525866"/>
          <w:sz w:val="22"/>
        </w:rPr>
        <w:t>down</w:t>
      </w:r>
      <w:r>
        <w:rPr>
          <w:rFonts w:ascii="Calibri" w:hAnsi="Calibri"/>
          <w:color w:val="525866"/>
          <w:sz w:val="22"/>
        </w:rPr>
        <w:t xml:space="preserve"> ~3.7% since Q1 earnings, likely reflecting the higher energy cost assumption; this divergence between EBITDA (up) and EPS (down) is the key tension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Total Revenue (Q2 2026)</w:t>
            </w:r>
          </w:p>
        </w:tc>
        <w:tc>
          <w:tcPr>
            <w:tcW w:type="dxa" w:w="1080"/>
          </w:tcPr>
          <w:p>
            <w:r>
              <w:rPr>
                <w:rFonts w:ascii="Calibri" w:hAnsi="Calibri"/>
                <w:sz w:val="22"/>
              </w:rPr>
              <w:t>$7.926B</w:t>
            </w:r>
          </w:p>
        </w:tc>
        <w:tc>
          <w:tcPr>
            <w:tcW w:type="dxa" w:w="1080"/>
          </w:tcPr>
          <w:p>
            <w:r>
              <w:rPr>
                <w:rFonts w:ascii="Calibri" w:hAnsi="Calibri"/>
                <w:sz w:val="22"/>
              </w:rPr>
              <w:t>$7.981B</w:t>
            </w:r>
          </w:p>
        </w:tc>
        <w:tc>
          <w:tcPr>
            <w:tcW w:type="dxa" w:w="1080"/>
          </w:tcPr>
          <w:p>
            <w:r>
              <w:rPr>
                <w:rFonts w:ascii="Calibri" w:hAnsi="Calibri"/>
                <w:b/>
                <w:color w:val="30A46C"/>
                <w:sz w:val="22"/>
              </w:rPr>
              <w:t>+0.7%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(Q2 2026)</w:t>
            </w:r>
          </w:p>
        </w:tc>
        <w:tc>
          <w:tcPr>
            <w:tcW w:type="dxa" w:w="1080"/>
          </w:tcPr>
          <w:p>
            <w:r>
              <w:rPr>
                <w:rFonts w:ascii="Calibri" w:hAnsi="Calibri"/>
                <w:sz w:val="22"/>
              </w:rPr>
              <w:t>$1.138B</w:t>
            </w:r>
          </w:p>
        </w:tc>
        <w:tc>
          <w:tcPr>
            <w:tcW w:type="dxa" w:w="1080"/>
          </w:tcPr>
          <w:p>
            <w:r>
              <w:rPr>
                <w:rFonts w:ascii="Calibri" w:hAnsi="Calibri"/>
                <w:sz w:val="22"/>
              </w:rPr>
              <w:t>$1.152B</w:t>
            </w:r>
          </w:p>
        </w:tc>
        <w:tc>
          <w:tcPr>
            <w:tcW w:type="dxa" w:w="1080"/>
          </w:tcPr>
          <w:p>
            <w:r>
              <w:rPr>
                <w:rFonts w:ascii="Calibri" w:hAnsi="Calibri"/>
                <w:b/>
                <w:color w:val="30A46C"/>
                <w:sz w:val="22"/>
              </w:rPr>
              <w:t>+1.2%</w:t>
            </w:r>
          </w:p>
        </w:tc>
        <w:tc>
          <w:tcPr>
            <w:tcW w:type="dxa" w:w="1080"/>
          </w:tcPr>
          <w:p>
            <w:r>
              <w:rPr>
                <w:rFonts w:ascii="Calibri" w:hAnsi="Calibri"/>
                <w:sz w:val="22"/>
              </w:rPr>
              <w:t>$1.1B–$1.2B</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+0.1% vs. $1.15B mid</w:t>
            </w:r>
          </w:p>
        </w:tc>
      </w:tr>
      <w:tr>
        <w:tc>
          <w:tcPr>
            <w:tcW w:type="dxa" w:w="1080"/>
          </w:tcPr>
          <w:p>
            <w:r>
              <w:rPr>
                <w:rFonts w:ascii="Calibri" w:hAnsi="Calibri"/>
                <w:sz w:val="22"/>
              </w:rPr>
              <w:t>Adj. EPS (Q2 2026)</w:t>
            </w:r>
          </w:p>
        </w:tc>
        <w:tc>
          <w:tcPr>
            <w:tcW w:type="dxa" w:w="1080"/>
          </w:tcPr>
          <w:p>
            <w:r>
              <w:rPr>
                <w:rFonts w:ascii="Calibri" w:hAnsi="Calibri"/>
                <w:sz w:val="22"/>
              </w:rPr>
              <w:t>$0.401</w:t>
            </w:r>
          </w:p>
        </w:tc>
        <w:tc>
          <w:tcPr>
            <w:tcW w:type="dxa" w:w="1080"/>
          </w:tcPr>
          <w:p>
            <w:r>
              <w:rPr>
                <w:rFonts w:ascii="Calibri" w:hAnsi="Calibri"/>
                <w:sz w:val="22"/>
              </w:rPr>
              <w:t>$0.431</w:t>
            </w:r>
          </w:p>
        </w:tc>
        <w:tc>
          <w:tcPr>
            <w:tcW w:type="dxa" w:w="1080"/>
          </w:tcPr>
          <w:p>
            <w:r>
              <w:rPr>
                <w:rFonts w:ascii="Calibri" w:hAnsi="Calibri"/>
                <w:b/>
                <w:color w:val="30A46C"/>
                <w:sz w:val="22"/>
              </w:rPr>
              <w:t>+7.5%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$31.782B</w:t>
            </w:r>
          </w:p>
        </w:tc>
        <w:tc>
          <w:tcPr>
            <w:tcW w:type="dxa" w:w="1080"/>
          </w:tcPr>
          <w:p>
            <w:r>
              <w:rPr>
                <w:rFonts w:ascii="Calibri" w:hAnsi="Calibri"/>
                <w:sz w:val="22"/>
              </w:rPr>
              <w:t>$32.158B</w:t>
            </w:r>
          </w:p>
        </w:tc>
        <w:tc>
          <w:tcPr>
            <w:tcW w:type="dxa" w:w="1080"/>
          </w:tcPr>
          <w:p>
            <w:r>
              <w:rPr>
                <w:rFonts w:ascii="Calibri" w:hAnsi="Calibri"/>
                <w:b/>
                <w:color w:val="30A46C"/>
                <w:sz w:val="22"/>
              </w:rPr>
              <w:t>+1.2%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(FY 2026)</w:t>
            </w:r>
          </w:p>
        </w:tc>
        <w:tc>
          <w:tcPr>
            <w:tcW w:type="dxa" w:w="1080"/>
          </w:tcPr>
          <w:p>
            <w:r>
              <w:rPr>
                <w:rFonts w:ascii="Calibri" w:hAnsi="Calibri"/>
                <w:sz w:val="22"/>
              </w:rPr>
              <w:t>$5.035B</w:t>
            </w:r>
          </w:p>
        </w:tc>
        <w:tc>
          <w:tcPr>
            <w:tcW w:type="dxa" w:w="1080"/>
          </w:tcPr>
          <w:p>
            <w:r>
              <w:rPr>
                <w:rFonts w:ascii="Calibri" w:hAnsi="Calibri"/>
                <w:sz w:val="22"/>
              </w:rPr>
              <w:t>$5.064B</w:t>
            </w:r>
          </w:p>
        </w:tc>
        <w:tc>
          <w:tcPr>
            <w:tcW w:type="dxa" w:w="1080"/>
          </w:tcPr>
          <w:p>
            <w:r>
              <w:rPr>
                <w:rFonts w:ascii="Calibri" w:hAnsi="Calibri"/>
                <w:b/>
                <w:color w:val="30A46C"/>
                <w:sz w:val="22"/>
              </w:rPr>
              <w:t>+0.6%</w:t>
            </w:r>
          </w:p>
        </w:tc>
        <w:tc>
          <w:tcPr>
            <w:tcW w:type="dxa" w:w="1080"/>
          </w:tcPr>
          <w:p>
            <w:r>
              <w:rPr>
                <w:rFonts w:ascii="Calibri" w:hAnsi="Calibri"/>
                <w:sz w:val="22"/>
              </w:rPr>
              <w:t>$5.0B–$5.3B</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-4.5% vs. $5.15B mid</w:t>
            </w:r>
          </w:p>
        </w:tc>
      </w:tr>
      <w:tr>
        <w:tc>
          <w:tcPr>
            <w:tcW w:type="dxa" w:w="1080"/>
          </w:tcPr>
          <w:p>
            <w:r>
              <w:rPr>
                <w:rFonts w:ascii="Calibri" w:hAnsi="Calibri"/>
                <w:sz w:val="22"/>
              </w:rPr>
              <w:t>Adj. EPS (FY 2026)</w:t>
            </w:r>
          </w:p>
        </w:tc>
        <w:tc>
          <w:tcPr>
            <w:tcW w:type="dxa" w:w="1080"/>
          </w:tcPr>
          <w:p>
            <w:r>
              <w:rPr>
                <w:rFonts w:ascii="Calibri" w:hAnsi="Calibri"/>
                <w:sz w:val="22"/>
              </w:rPr>
              <w:t>$2.373</w:t>
            </w:r>
          </w:p>
        </w:tc>
        <w:tc>
          <w:tcPr>
            <w:tcW w:type="dxa" w:w="1080"/>
          </w:tcPr>
          <w:p>
            <w:r>
              <w:rPr>
                <w:rFonts w:ascii="Calibri" w:hAnsi="Calibri"/>
                <w:sz w:val="22"/>
              </w:rPr>
              <w:t>$2.285</w:t>
            </w:r>
          </w:p>
        </w:tc>
        <w:tc>
          <w:tcPr>
            <w:tcW w:type="dxa" w:w="1080"/>
          </w:tcPr>
          <w:p>
            <w:r>
              <w:rPr>
                <w:rFonts w:ascii="Calibri" w:hAnsi="Calibri"/>
                <w:b/>
                <w:color w:val="E5484D"/>
                <w:sz w:val="22"/>
              </w:rPr>
              <w:t>-3.7%</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Free Cash Flow (FY 2026)</w:t>
            </w:r>
          </w:p>
        </w:tc>
        <w:tc>
          <w:tcPr>
            <w:tcW w:type="dxa" w:w="1080"/>
          </w:tcPr>
          <w:p>
            <w:r>
              <w:rPr>
                <w:rFonts w:ascii="Calibri" w:hAnsi="Calibri"/>
                <w:sz w:val="22"/>
              </w:rPr>
              <w:t>$1.015B</w:t>
            </w:r>
          </w:p>
        </w:tc>
        <w:tc>
          <w:tcPr>
            <w:tcW w:type="dxa" w:w="1080"/>
          </w:tcPr>
          <w:p>
            <w:r>
              <w:rPr>
                <w:rFonts w:ascii="Calibri" w:hAnsi="Calibri"/>
                <w:sz w:val="22"/>
              </w:rPr>
              <w:t>$0.723B</w:t>
            </w:r>
          </w:p>
        </w:tc>
        <w:tc>
          <w:tcPr>
            <w:tcW w:type="dxa" w:w="1080"/>
          </w:tcPr>
          <w:p>
            <w:r>
              <w:rPr>
                <w:rFonts w:ascii="Calibri" w:hAnsi="Calibri"/>
                <w:b/>
                <w:color w:val="E5484D"/>
                <w:sz w:val="22"/>
              </w:rPr>
              <w:t>-28.8%</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Baseline date (May 5, 2026) is approximately 5 trading days after Q1 2026 earnings (April 30, 2026). The sharp FCF revision lower likely reflects higher-than-expected working capital usage and energy cost cash impact; this is a key watch item for Q2 commentary.</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SW's ~32% recovery from post-Q1 lows to ~$50 has been driven primarily by sentiment re-rating on the demand recovery narrative and price increase announcements, outpacing both IP (+29%) and PKG (+14%) since April 30; the move looks sentiment-led rather than estimate-driven given FY EPS revisions are actually down, suggesting the stock has priced in execution on the demand recovery but leaves limited room for disappointment.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SW vs. IP vs. PKG — Indexed Price Performance Since Q1 2026 Earnings (April 30, 2026). Base = 100. Source: Stock Price Data.</w:t>
      </w:r>
    </w:p>
    <w:p>
      <w:r>
        <w:rPr>
          <w:rFonts w:ascii="Calibri" w:hAnsi="Calibri"/>
          <w:b/>
          <w:color w:val="525866"/>
          <w:sz w:val="22"/>
        </w:rPr>
        <w:t xml:space="preserve">Sector ETF note: </w:t>
      </w:r>
      <w:r>
        <w:rPr>
          <w:rFonts w:ascii="Calibri" w:hAnsi="Calibri"/>
          <w:color w:val="525866"/>
          <w:sz w:val="22"/>
        </w:rPr>
        <w:t>Peers used are IP (International Paper) and PKG (Packaging Corporation of America) — the two most directly comparable North American containerboard/corrugated peers. SW closed at $38.39 on April 30 (earnings day) and has rallied to ~$50.80 as of July 28, a +32.3% move. IP is up ~15.2% and PKG is up ~13.8% over the same period. Key events marked: AGM (May 1), Insider Awards (June 10), Q2 Earnings Date Announced (July 15). The sharp spike in SW on July 24 (+11.1% in a single session) appears to reflect pre-earnings positioning and/or sector rotation into the print.</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Peers reporting Q2 2026 results (PKG, SON, CCK) paint a broadly constructive picture for SW: containerboard demand is strong and mills are running at high utilization, price increases are being implemented, and the macro backdrop — while inflationary — is supporting packaging volumes. The primary read-through risk is </w:t>
      </w:r>
      <w:r>
        <w:rPr>
          <w:rFonts w:ascii="Calibri" w:hAnsi="Calibri"/>
          <w:b/>
          <w:color w:val="525866"/>
          <w:sz w:val="22"/>
        </w:rPr>
        <w:t>energy/freight cost inflation</w:t>
      </w:r>
      <w:r>
        <w:rPr>
          <w:rFonts w:ascii="Calibri" w:hAnsi="Calibri"/>
          <w:color w:val="525866"/>
          <w:sz w:val="22"/>
        </w:rPr>
        <w:t xml:space="preserve"> (flagged by all three peers as a headwind), which is the same variable SW identified as its biggest FY 2026 swing factor.</w:t>
      </w:r>
    </w:p>
    <w:p>
      <w:pPr>
        <w:pStyle w:val="Heading3"/>
      </w:pPr>
      <w:r>
        <w:rPr>
          <w:rFonts w:ascii="Calibri" w:hAnsi="Calibri"/>
          <w:b/>
          <w:color w:val="3B4259"/>
          <w:sz w:val="24"/>
        </w:rPr>
        <w:t>PKG (Packaging Corporation of America) — Q2 2026 Results (July 22, 2026)</w:t>
      </w:r>
    </w:p>
    <w:p>
      <w:r>
        <w:rPr>
          <w:rFonts w:ascii="Calibri" w:hAnsi="Calibri"/>
          <w:b/>
          <w:color w:val="525866"/>
          <w:sz w:val="22"/>
        </w:rPr>
        <w:t xml:space="preserve">Relevance: </w:t>
      </w:r>
      <w:r>
        <w:rPr>
          <w:rFonts w:ascii="Calibri" w:hAnsi="Calibri"/>
          <w:color w:val="525866"/>
          <w:sz w:val="22"/>
        </w:rPr>
        <w:t>PKG is SW's most direct North American containerboard/corrugated peer. PKG's Q2 results are the single most important read-through for SW's North American segment.</w:t>
      </w:r>
    </w:p>
    <w:p>
      <w:pPr>
        <w:pStyle w:val="ListBullet"/>
        <w:ind w:left="360" w:hanging="360"/>
      </w:pPr>
      <w:r>
        <w:rPr>
          <w:rFonts w:ascii="Calibri" w:hAnsi="Calibri"/>
          <w:b/>
          <w:color w:val="525866"/>
          <w:sz w:val="22"/>
        </w:rPr>
        <w:t xml:space="preserve">Demand: Very strong. </w:t>
      </w:r>
      <w:r>
        <w:rPr>
          <w:rFonts w:ascii="Calibri" w:hAnsi="Calibri"/>
          <w:color w:val="525866"/>
          <w:sz w:val="22"/>
        </w:rPr>
        <w:t xml:space="preserve">PKG reported corrugated shipments up over 24% total (legacy business up 4.1%, an all-time record for quarterly shipments). Management described demand as "very strong throughout the quarter across our entire customer base." Pre-buying was "impossible" due to tight capacity. </w:t>
      </w:r>
      <w:r>
        <w:rPr>
          <w:rFonts w:ascii="Calibri" w:hAnsi="Calibri"/>
          <w:b/>
          <w:color w:val="30A46C"/>
          <w:sz w:val="22"/>
        </w:rPr>
        <w:t>Read-through: Strongly positive for SW's North American corrugated volumes in Q2.</w:t>
      </w:r>
    </w:p>
    <w:p>
      <w:pPr>
        <w:pStyle w:val="ListBullet"/>
        <w:ind w:left="360" w:hanging="360"/>
      </w:pPr>
      <w:r>
        <w:rPr>
          <w:rFonts w:ascii="Calibri" w:hAnsi="Calibri"/>
          <w:b/>
          <w:color w:val="525866"/>
          <w:sz w:val="22"/>
        </w:rPr>
        <w:t xml:space="preserve">Containerboard utilization: Sold out. </w:t>
      </w:r>
      <w:r>
        <w:rPr>
          <w:rFonts w:ascii="Calibri" w:hAnsi="Calibri"/>
          <w:color w:val="525866"/>
          <w:sz w:val="22"/>
        </w:rPr>
        <w:t xml:space="preserve">PKG produced 1.415M tons of containerboard in Q2, with system-wide inventories down 25,000 tons from Q1-end. The company deliberately cut exports mid-quarter to supply corrugated plants. </w:t>
      </w:r>
      <w:r>
        <w:rPr>
          <w:rFonts w:ascii="Calibri" w:hAnsi="Calibri"/>
          <w:b/>
          <w:color w:val="30A46C"/>
          <w:sz w:val="22"/>
        </w:rPr>
        <w:t>Read-through: Confirms the sold-out position SW described entering Q2; supports SW's price increase narrative.</w:t>
      </w:r>
    </w:p>
    <w:p>
      <w:pPr>
        <w:pStyle w:val="ListBullet"/>
        <w:ind w:left="360" w:hanging="360"/>
      </w:pPr>
      <w:r>
        <w:rPr>
          <w:rFonts w:ascii="Calibri" w:hAnsi="Calibri"/>
          <w:b/>
          <w:color w:val="525866"/>
          <w:sz w:val="22"/>
        </w:rPr>
        <w:t xml:space="preserve">Pricing: Positive trajectory. </w:t>
      </w:r>
      <w:r>
        <w:rPr>
          <w:rFonts w:ascii="Calibri" w:hAnsi="Calibri"/>
          <w:color w:val="525866"/>
          <w:sz w:val="22"/>
        </w:rPr>
        <w:t xml:space="preserve">Corrugated prices were up $0.04/share vs. Q1 2026 as the first $20/ton increase began to be realized in June. PKG expects the "vast majority" (70-75%) of its first price increase to be realized in Q3, with the second increase primarily in Q4. OCC recycled fiber is up ~70% since the beginning of the year. </w:t>
      </w:r>
      <w:r>
        <w:rPr>
          <w:rFonts w:ascii="Calibri" w:hAnsi="Calibri"/>
          <w:b/>
          <w:color w:val="525866"/>
          <w:sz w:val="22"/>
        </w:rPr>
        <w:t>Read-through: Price realization is real but back-half weighted; SW's $50/ton increases may follow a similar cadence.</w:t>
      </w:r>
    </w:p>
    <w:p>
      <w:pPr>
        <w:pStyle w:val="ListBullet"/>
        <w:ind w:left="360" w:hanging="360"/>
      </w:pPr>
      <w:r>
        <w:rPr>
          <w:rFonts w:ascii="Calibri" w:hAnsi="Calibri"/>
          <w:b/>
          <w:color w:val="525866"/>
          <w:sz w:val="22"/>
        </w:rPr>
        <w:t xml:space="preserve">Cost headwinds: Freight elevated. </w:t>
      </w:r>
      <w:r>
        <w:rPr>
          <w:rFonts w:ascii="Calibri" w:hAnsi="Calibri"/>
          <w:color w:val="525866"/>
          <w:sz w:val="22"/>
        </w:rPr>
        <w:t xml:space="preserve">PKG flagged higher freight costs ($0.26/share headwind) and higher recycled fiber as the primary cost pressures. Management described a "very high inflationary environment." </w:t>
      </w:r>
      <w:r>
        <w:rPr>
          <w:rFonts w:ascii="Calibri" w:hAnsi="Calibri"/>
          <w:b/>
          <w:color w:val="E5484D"/>
          <w:sz w:val="22"/>
        </w:rPr>
        <w:t>Read-through: Confirms SW's $50M freight headwind assumption; OCC rising is a modest negative for SW's fiber tailwind.</w:t>
      </w:r>
    </w:p>
    <w:p>
      <w:pPr>
        <w:pStyle w:val="ListBullet"/>
        <w:ind w:left="360" w:hanging="360"/>
      </w:pPr>
      <w:r>
        <w:rPr>
          <w:rFonts w:ascii="Calibri" w:hAnsi="Calibri"/>
          <w:b/>
          <w:color w:val="525866"/>
          <w:sz w:val="22"/>
        </w:rPr>
        <w:t xml:space="preserve">Q3 2026 guidance: $2.91/share EPS. </w:t>
      </w:r>
      <w:r>
        <w:rPr>
          <w:rFonts w:ascii="Calibri" w:hAnsi="Calibri"/>
          <w:color w:val="525866"/>
          <w:sz w:val="22"/>
        </w:rPr>
        <w:t xml:space="preserve">PKG guided Q3 EPS of $2.91 (vs. $2.15 in Q2), driven by continued strong demand, price realization, and lower maintenance outage expense. </w:t>
      </w:r>
      <w:r>
        <w:rPr>
          <w:rFonts w:ascii="Calibri" w:hAnsi="Calibri"/>
          <w:b/>
          <w:color w:val="30A46C"/>
          <w:sz w:val="22"/>
        </w:rPr>
        <w:t>Read-through: Positive for SW's H2 outlook; the industry is in a strong demand/price cycle.</w:t>
      </w:r>
    </w:p>
    <w:p>
      <w:pPr>
        <w:pStyle w:val="Heading3"/>
      </w:pPr>
      <w:r>
        <w:rPr>
          <w:rFonts w:ascii="Calibri" w:hAnsi="Calibri"/>
          <w:b/>
          <w:color w:val="3B4259"/>
          <w:sz w:val="24"/>
        </w:rPr>
        <w:t>SON (Sonoco Products) — Q2 2026 Results (July 22, 2026)</w:t>
      </w:r>
    </w:p>
    <w:p>
      <w:r>
        <w:rPr>
          <w:rFonts w:ascii="Calibri" w:hAnsi="Calibri"/>
          <w:b/>
          <w:color w:val="525866"/>
          <w:sz w:val="22"/>
        </w:rPr>
        <w:t xml:space="preserve">Relevance: </w:t>
      </w:r>
      <w:r>
        <w:rPr>
          <w:rFonts w:ascii="Calibri" w:hAnsi="Calibri"/>
          <w:color w:val="525866"/>
          <w:sz w:val="22"/>
        </w:rPr>
        <w:t>Sonoco's industrial segment (Unbleached Recycled Board / URB) is a read-through for containerboard demand and mill utilization trends. SON also provides color on energy/freight inflation and consumer packaging demand.</w:t>
      </w:r>
    </w:p>
    <w:p>
      <w:pPr>
        <w:pStyle w:val="ListBullet"/>
        <w:ind w:left="360" w:hanging="360"/>
      </w:pPr>
      <w:r>
        <w:rPr>
          <w:rFonts w:ascii="Calibri" w:hAnsi="Calibri"/>
          <w:b/>
          <w:color w:val="525866"/>
          <w:sz w:val="22"/>
        </w:rPr>
        <w:t xml:space="preserve">URB mill utilization: 95% — highest in years. </w:t>
      </w:r>
      <w:r>
        <w:rPr>
          <w:rFonts w:ascii="Calibri" w:hAnsi="Calibri"/>
          <w:color w:val="525866"/>
          <w:sz w:val="22"/>
        </w:rPr>
        <w:t xml:space="preserve">SON's North American URB mills saw trade tons up 6.4%, boosting utilization to 95%, the highest level in years. Demand came from new market development (saturated URB for laminates) and share gains. SON is importing paper from Europe and Latin America to support North American demand. </w:t>
      </w:r>
      <w:r>
        <w:rPr>
          <w:rFonts w:ascii="Calibri" w:hAnsi="Calibri"/>
          <w:b/>
          <w:color w:val="30A46C"/>
          <w:sz w:val="22"/>
        </w:rPr>
        <w:t>Read-through: Strongly positive for SW's North American mill utilization and volume narrative.</w:t>
      </w:r>
    </w:p>
    <w:p>
      <w:pPr>
        <w:pStyle w:val="ListBullet"/>
        <w:ind w:left="360" w:hanging="360"/>
      </w:pPr>
      <w:r>
        <w:rPr>
          <w:rFonts w:ascii="Calibri" w:hAnsi="Calibri"/>
          <w:b/>
          <w:color w:val="525866"/>
          <w:sz w:val="22"/>
        </w:rPr>
        <w:t xml:space="preserve">Pricing: Recovery mechanisms in place. </w:t>
      </w:r>
      <w:r>
        <w:rPr>
          <w:rFonts w:ascii="Calibri" w:hAnsi="Calibri"/>
          <w:color w:val="525866"/>
          <w:sz w:val="22"/>
        </w:rPr>
        <w:t xml:space="preserve">SON was "behind the price-cost curve in Q2" but has implemented a $60/ton URB price increase (effective July 8) and contracted paper can price increases globally. ~70% of industrial paper pricing is index-linked, recovering on day one of the following quarter. </w:t>
      </w:r>
      <w:r>
        <w:rPr>
          <w:rFonts w:ascii="Calibri" w:hAnsi="Calibri"/>
          <w:b/>
          <w:color w:val="525866"/>
          <w:sz w:val="22"/>
        </w:rPr>
        <w:t>Read-through: Confirms the industry-wide price increase cycle; SW's $50/ton increases are consistent with this trend.</w:t>
      </w:r>
    </w:p>
    <w:p>
      <w:pPr>
        <w:pStyle w:val="ListBullet"/>
        <w:ind w:left="360" w:hanging="360"/>
      </w:pPr>
      <w:r>
        <w:rPr>
          <w:rFonts w:ascii="Calibri" w:hAnsi="Calibri"/>
          <w:b/>
          <w:color w:val="525866"/>
          <w:sz w:val="22"/>
        </w:rPr>
        <w:t xml:space="preserve">Energy/freight inflation: ~$10M operating profit headwind in Q2. </w:t>
      </w:r>
      <w:r>
        <w:rPr>
          <w:rFonts w:ascii="Calibri" w:hAnsi="Calibri"/>
          <w:color w:val="525866"/>
          <w:sz w:val="22"/>
        </w:rPr>
        <w:t xml:space="preserve">Global inflationary pressures driven by higher energy expenses from the Middle East situation cost SON ~$10M of operating profit in Q2. Freight was the largest component; raw materials (oak) also higher, up $40/ton YTD to $100/ton. </w:t>
      </w:r>
      <w:r>
        <w:rPr>
          <w:rFonts w:ascii="Calibri" w:hAnsi="Calibri"/>
          <w:b/>
          <w:color w:val="E5484D"/>
          <w:sz w:val="22"/>
        </w:rPr>
        <w:t>Read-through: Confirms energy/freight as a sector-wide headwind; validates SW's elevated energy cost guidance.</w:t>
      </w:r>
    </w:p>
    <w:p>
      <w:pPr>
        <w:pStyle w:val="ListBullet"/>
        <w:ind w:left="360" w:hanging="360"/>
      </w:pPr>
      <w:r>
        <w:rPr>
          <w:rFonts w:ascii="Calibri" w:hAnsi="Calibri"/>
          <w:b/>
          <w:color w:val="525866"/>
          <w:sz w:val="22"/>
        </w:rPr>
        <w:t xml:space="preserve">Full-year guidance: Reaffirmed. </w:t>
      </w:r>
      <w:r>
        <w:rPr>
          <w:rFonts w:ascii="Calibri" w:hAnsi="Calibri"/>
          <w:color w:val="525866"/>
          <w:sz w:val="22"/>
        </w:rPr>
        <w:t xml:space="preserve">SON reaffirmed FY 2026 guidance (net sales $7.25B–$7.75B, Adj. EBITDA $1.25B–$1.35B, Adj. EPS $5.80–$6.20). Management is "bullish" on H2, citing pack season strength, price recovery mechanisms, and profitability performance plan savings. </w:t>
      </w:r>
      <w:r>
        <w:rPr>
          <w:rFonts w:ascii="Calibri" w:hAnsi="Calibri"/>
          <w:b/>
          <w:color w:val="30A46C"/>
          <w:sz w:val="22"/>
        </w:rPr>
        <w:t>Read-through: Positive tone on H2 is consistent with SW's reaffirmed FY guide.</w:t>
      </w:r>
    </w:p>
    <w:p>
      <w:pPr>
        <w:pStyle w:val="ListBullet"/>
        <w:ind w:left="360" w:hanging="360"/>
      </w:pPr>
      <w:r>
        <w:rPr>
          <w:rFonts w:ascii="Calibri" w:hAnsi="Calibri"/>
          <w:b/>
          <w:color w:val="525866"/>
          <w:sz w:val="22"/>
        </w:rPr>
        <w:t xml:space="preserve">Consumer demand: Uneven. </w:t>
      </w:r>
      <w:r>
        <w:rPr>
          <w:rFonts w:ascii="Calibri" w:hAnsi="Calibri"/>
          <w:color w:val="525866"/>
          <w:sz w:val="22"/>
        </w:rPr>
        <w:t xml:space="preserve">SON noted a slowdown in North American consumer demand, particularly in adhesives/sealants (housing-related) and aerosols. Paper can volumes were up 9% in EMEA/APAC but consumer segment operating profit was down 5% YoY. </w:t>
      </w:r>
      <w:r>
        <w:rPr>
          <w:rFonts w:ascii="Calibri" w:hAnsi="Calibri"/>
          <w:b/>
          <w:color w:val="525866"/>
          <w:sz w:val="22"/>
        </w:rPr>
        <w:t>Read-through: Mixed for SW's consumer board (SBS/CUK) segment; industrial/corrugated is the stronger read-through.</w:t>
      </w:r>
    </w:p>
    <w:p>
      <w:pPr>
        <w:pStyle w:val="Heading3"/>
      </w:pPr>
      <w:r>
        <w:rPr>
          <w:rFonts w:ascii="Calibri" w:hAnsi="Calibri"/>
          <w:b/>
          <w:color w:val="3B4259"/>
          <w:sz w:val="24"/>
        </w:rPr>
        <w:t>CCK (Crown Holdings) — Q2 2026 Results (July 20, 2026)</w:t>
      </w:r>
    </w:p>
    <w:p>
      <w:r>
        <w:rPr>
          <w:rFonts w:ascii="Calibri" w:hAnsi="Calibri"/>
          <w:b/>
          <w:color w:val="525866"/>
          <w:sz w:val="22"/>
        </w:rPr>
        <w:t xml:space="preserve">Relevance: </w:t>
      </w:r>
      <w:r>
        <w:rPr>
          <w:rFonts w:ascii="Calibri" w:hAnsi="Calibri"/>
          <w:color w:val="525866"/>
          <w:sz w:val="22"/>
        </w:rPr>
        <w:t>CCK is a beverage can manufacturer — less direct than PKG/SON, but provides color on global packaging demand trends, consumer behavior, energy/freight inflation, and the macro environment that affects SW's end markets.</w:t>
      </w:r>
    </w:p>
    <w:p>
      <w:pPr>
        <w:pStyle w:val="ListBullet"/>
        <w:ind w:left="360" w:hanging="360"/>
      </w:pPr>
      <w:r>
        <w:rPr>
          <w:rFonts w:ascii="Calibri" w:hAnsi="Calibri"/>
          <w:b/>
          <w:color w:val="525866"/>
          <w:sz w:val="22"/>
        </w:rPr>
        <w:t xml:space="preserve">Global beverage can demand: Strong. </w:t>
      </w:r>
      <w:r>
        <w:rPr>
          <w:rFonts w:ascii="Calibri" w:hAnsi="Calibri"/>
          <w:color w:val="525866"/>
          <w:sz w:val="22"/>
        </w:rPr>
        <w:t xml:space="preserve">CCK reported global beverage can volumes up 5% in Q2 (following 5% in Q1), with North America up 5% and Europe up 7%. The North American market is running at "mid-to-high 90s" utilization ("110% utilization" April–August). Management raised FY 2026 Adj. EPS guidance from $7.90–$8.30 to $8.30–$8.50. </w:t>
      </w:r>
      <w:r>
        <w:rPr>
          <w:rFonts w:ascii="Calibri" w:hAnsi="Calibri"/>
          <w:b/>
          <w:color w:val="30A46C"/>
          <w:sz w:val="22"/>
        </w:rPr>
        <w:t>Read-through: Positive macro signal for packaging demand broadly; consumer is still buying packaged goods.</w:t>
      </w:r>
    </w:p>
    <w:p>
      <w:pPr>
        <w:pStyle w:val="ListBullet"/>
        <w:ind w:left="360" w:hanging="360"/>
      </w:pPr>
      <w:r>
        <w:rPr>
          <w:rFonts w:ascii="Calibri" w:hAnsi="Calibri"/>
          <w:b/>
          <w:color w:val="525866"/>
          <w:sz w:val="22"/>
        </w:rPr>
        <w:t xml:space="preserve">Middle East conflict: Inflation headwind. </w:t>
      </w:r>
      <w:r>
        <w:rPr>
          <w:rFonts w:ascii="Calibri" w:hAnsi="Calibri"/>
          <w:color w:val="525866"/>
          <w:sz w:val="22"/>
        </w:rPr>
        <w:t xml:space="preserve">CCK flagged the Middle East crisis as driving higher ocean freight, industrial gases, and energy costs. The EPS impact was ~$0.05–$0.06 in Q2 and is expected to be $0.07–$0.10 in H2. Management expressed "a little bit of caution around the second half" due to this. </w:t>
      </w:r>
      <w:r>
        <w:rPr>
          <w:rFonts w:ascii="Calibri" w:hAnsi="Calibri"/>
          <w:b/>
          <w:color w:val="E5484D"/>
          <w:sz w:val="22"/>
        </w:rPr>
        <w:t>Read-through: Validates SW's elevated energy cost guidance; the conflict is a sector-wide headwind that may not abate in H2.</w:t>
      </w:r>
    </w:p>
    <w:p>
      <w:pPr>
        <w:pStyle w:val="ListBullet"/>
        <w:ind w:left="360" w:hanging="360"/>
      </w:pPr>
      <w:r>
        <w:rPr>
          <w:rFonts w:ascii="Calibri" w:hAnsi="Calibri"/>
          <w:b/>
          <w:color w:val="525866"/>
          <w:sz w:val="22"/>
        </w:rPr>
        <w:t xml:space="preserve">Consumer behavior: Resilient but stretched. </w:t>
      </w:r>
      <w:r>
        <w:rPr>
          <w:rFonts w:ascii="Calibri" w:hAnsi="Calibri"/>
          <w:color w:val="525866"/>
          <w:sz w:val="22"/>
        </w:rPr>
        <w:t xml:space="preserve">CCK noted that when consumers are "stretched and stressed," they retreat to home consumption, which benefits canned products. The Tampa restaurant scene was cited as anecdotal evidence. </w:t>
      </w:r>
      <w:r>
        <w:rPr>
          <w:rFonts w:ascii="Calibri" w:hAnsi="Calibri"/>
          <w:b/>
          <w:color w:val="30A46C"/>
          <w:sz w:val="22"/>
        </w:rPr>
        <w:t>Read-through: Broadly positive for SW's corrugated/packaging end markets; at-home consumption supports box demand.</w:t>
      </w:r>
    </w:p>
    <w:p>
      <w:pPr>
        <w:pStyle w:val="ListBullet"/>
        <w:ind w:left="360" w:hanging="360"/>
      </w:pPr>
      <w:r>
        <w:rPr>
          <w:rFonts w:ascii="Calibri" w:hAnsi="Calibri"/>
          <w:b/>
          <w:color w:val="525866"/>
          <w:sz w:val="22"/>
        </w:rPr>
        <w:t xml:space="preserve">Capital returns: Aggressive. </w:t>
      </w:r>
      <w:r>
        <w:rPr>
          <w:rFonts w:ascii="Calibri" w:hAnsi="Calibri"/>
          <w:color w:val="525866"/>
          <w:sz w:val="22"/>
        </w:rPr>
        <w:t xml:space="preserve">CCK repurchased $305M of shares in Q2 and $517M in H1, with $200M more planned in H2. Adj. FCF guidance raised to "at least $900M." </w:t>
      </w:r>
      <w:r>
        <w:rPr>
          <w:rFonts w:ascii="Calibri" w:hAnsi="Calibri"/>
          <w:b/>
          <w:color w:val="525866"/>
          <w:sz w:val="22"/>
        </w:rPr>
        <w:t>Read-through: Indirect positive for SW's capital allocation narrative as the sector demonstrates strong cash generation.</w:t>
      </w:r>
    </w:p>
    <w:p>
      <w:pPr>
        <w:pStyle w:val="Heading3"/>
      </w:pPr>
      <w:r>
        <w:rPr>
          <w:rFonts w:ascii="Calibri" w:hAnsi="Calibri"/>
          <w:b/>
          <w:color w:val="3B4259"/>
          <w:sz w:val="24"/>
        </w:rPr>
        <w:t>GPK (Graphic Packaging) — Q1 2026 Results (May 5, 2026)</w:t>
      </w:r>
    </w:p>
    <w:p>
      <w:r>
        <w:rPr>
          <w:rFonts w:ascii="Calibri" w:hAnsi="Calibri"/>
          <w:b/>
          <w:color w:val="525866"/>
          <w:sz w:val="22"/>
        </w:rPr>
        <w:t xml:space="preserve">Relevance: </w:t>
      </w:r>
      <w:r>
        <w:rPr>
          <w:rFonts w:ascii="Calibri" w:hAnsi="Calibri"/>
          <w:color w:val="525866"/>
          <w:sz w:val="22"/>
        </w:rPr>
        <w:t>GPK is a consumer paperboard (bleached board/CUK/CRB) peer — relevant for SW's SBS/consumer board segment and for read-through on consumer demand trends and pricing dynamics. Note: GPK reported Q1 2026 results in May; this is the most recent available commentary from GPK.</w:t>
      </w:r>
    </w:p>
    <w:p>
      <w:pPr>
        <w:pStyle w:val="ListBullet"/>
        <w:ind w:left="360" w:hanging="360"/>
      </w:pPr>
      <w:r>
        <w:rPr>
          <w:rFonts w:ascii="Calibri" w:hAnsi="Calibri"/>
          <w:b/>
          <w:color w:val="525866"/>
          <w:sz w:val="22"/>
        </w:rPr>
        <w:t xml:space="preserve">Consumer demand: Value-seeking, but stabilizing. </w:t>
      </w:r>
      <w:r>
        <w:rPr>
          <w:rFonts w:ascii="Calibri" w:hAnsi="Calibri"/>
          <w:color w:val="525866"/>
          <w:sz w:val="22"/>
        </w:rPr>
        <w:t xml:space="preserve">GPK reported Q1 2026 volumes up 1% YoY, with food and health/beauty as bright spots. Scanner data reflects a "more selective and value-conscious consumer" with ~47% of global shoppers now considered "value seekers." Customers are increasingly taking actions to restore volume growth. </w:t>
      </w:r>
      <w:r>
        <w:rPr>
          <w:rFonts w:ascii="Calibri" w:hAnsi="Calibri"/>
          <w:b/>
          <w:color w:val="525866"/>
          <w:sz w:val="22"/>
        </w:rPr>
        <w:t>Read-through: Modest positive for SW's consumer board segment; demand is not deteriorating but is not accelerating.</w:t>
      </w:r>
    </w:p>
    <w:p>
      <w:pPr>
        <w:pStyle w:val="ListBullet"/>
        <w:ind w:left="360" w:hanging="360"/>
      </w:pPr>
      <w:r>
        <w:rPr>
          <w:rFonts w:ascii="Calibri" w:hAnsi="Calibri"/>
          <w:b/>
          <w:color w:val="525866"/>
          <w:sz w:val="22"/>
        </w:rPr>
        <w:t xml:space="preserve">Pricing: Competitive pressure easing. </w:t>
      </w:r>
      <w:r>
        <w:rPr>
          <w:rFonts w:ascii="Calibri" w:hAnsi="Calibri"/>
          <w:color w:val="525866"/>
          <w:sz w:val="22"/>
        </w:rPr>
        <w:t xml:space="preserve">GPK experienced a 2% price decline in Q1 reflecting Q4 2025 index changes and "unusual competitive pricing." GPK announced a $60/ton bleached cup stock price increase effective May 8. Most contracts require RISI index recognition before pass-through (3–6 month lag). </w:t>
      </w:r>
      <w:r>
        <w:rPr>
          <w:rFonts w:ascii="Calibri" w:hAnsi="Calibri"/>
          <w:b/>
          <w:color w:val="525866"/>
          <w:sz w:val="22"/>
        </w:rPr>
        <w:t>Read-through: The competitive pricing pressure that hurt GPK in Q1 appears to be turning; SW's SBS price increases may face similar RISI-linked timing lags.</w:t>
      </w:r>
    </w:p>
    <w:p>
      <w:pPr>
        <w:pStyle w:val="ListBullet"/>
        <w:ind w:left="360" w:hanging="360"/>
      </w:pPr>
      <w:r>
        <w:rPr>
          <w:rFonts w:ascii="Calibri" w:hAnsi="Calibri"/>
          <w:b/>
          <w:color w:val="525866"/>
          <w:sz w:val="22"/>
        </w:rPr>
        <w:t xml:space="preserve">Inflation: ~$37M commodity cost inflation in Q1, ~$10M above expectations. </w:t>
      </w:r>
      <w:r>
        <w:rPr>
          <w:rFonts w:ascii="Calibri" w:hAnsi="Calibri"/>
          <w:color w:val="525866"/>
          <w:sz w:val="22"/>
        </w:rPr>
        <w:t xml:space="preserve">GPK cited Iran conflict-driven logistics, energy, and resin cost inflation. Full-year incremental inflation now expected at $60–$65M. </w:t>
      </w:r>
      <w:r>
        <w:rPr>
          <w:rFonts w:ascii="Calibri" w:hAnsi="Calibri"/>
          <w:b/>
          <w:color w:val="E5484D"/>
          <w:sz w:val="22"/>
        </w:rPr>
        <w:t>Read-through: Confirms the inflation environment SW is navigating; GPK's experience suggests SW's energy/freight headwinds are real and sector-wide.</w:t>
      </w:r>
    </w:p>
    <w:p>
      <w:pPr>
        <w:pStyle w:val="ListBullet"/>
        <w:ind w:left="360" w:hanging="360"/>
      </w:pPr>
      <w:r>
        <w:rPr>
          <w:rFonts w:ascii="Calibri" w:hAnsi="Calibri"/>
          <w:b/>
          <w:color w:val="525866"/>
          <w:sz w:val="22"/>
        </w:rPr>
        <w:t xml:space="preserve">FY 2026 guidance: Reaffirmed at $1.05B–$1.25B Adj. EBITDA. </w:t>
      </w:r>
      <w:r>
        <w:rPr>
          <w:rFonts w:ascii="Calibri" w:hAnsi="Calibri"/>
          <w:color w:val="525866"/>
          <w:sz w:val="22"/>
        </w:rPr>
        <w:t xml:space="preserve">GPK is moving from a "heavy investment cycle to a cash harvesting cycle" and expects FCF of $700M–$800M. 2026 is described as a "foundational year." </w:t>
      </w:r>
      <w:r>
        <w:rPr>
          <w:rFonts w:ascii="Calibri" w:hAnsi="Calibri"/>
          <w:b/>
          <w:color w:val="30A46C"/>
          <w:sz w:val="22"/>
        </w:rPr>
        <w:t>Read-through: Positive for the sector's ability to hold guidance despite cost headwinds; consistent with SW's reaffirmed FY guide.</w:t>
      </w:r>
    </w:p>
    <w:p>
      <w:r>
        <w:rPr>
          <w:rFonts w:ascii="Calibri" w:hAnsi="Calibri"/>
          <w:b/>
          <w:color w:val="525866"/>
          <w:sz w:val="22"/>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SW Read-Through</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PKG</w:t>
            </w:r>
          </w:p>
        </w:tc>
        <w:tc>
          <w:tcPr>
            <w:tcW w:type="dxa" w:w="2160"/>
          </w:tcPr>
          <w:p>
            <w:r>
              <w:rPr>
                <w:rFonts w:ascii="Calibri" w:hAnsi="Calibri"/>
                <w:sz w:val="22"/>
              </w:rPr>
              <w:t>Jul 22, 2026</w:t>
            </w:r>
          </w:p>
        </w:tc>
        <w:tc>
          <w:tcPr>
            <w:tcW w:type="dxa" w:w="2160"/>
          </w:tcPr>
          <w:p>
            <w:r>
              <w:rPr>
                <w:rFonts w:ascii="Calibri" w:hAnsi="Calibri"/>
                <w:sz w:val="22"/>
              </w:rPr>
              <w:t>Corrugated demand all-time record; containerboard sold out; price increases being realized; freight/OCC elevated</w:t>
            </w:r>
          </w:p>
        </w:tc>
        <w:tc>
          <w:tcPr>
            <w:tcW w:type="dxa" w:w="2160"/>
          </w:tcPr>
          <w:p>
            <w:r>
              <w:rPr>
                <w:rFonts w:ascii="Calibri" w:hAnsi="Calibri"/>
                <w:b/>
                <w:color w:val="30A46C"/>
                <w:sz w:val="22"/>
              </w:rPr>
              <w:t>Positive (demand/price) / Negative (costs)</w:t>
            </w:r>
          </w:p>
        </w:tc>
      </w:tr>
      <w:tr>
        <w:tc>
          <w:tcPr>
            <w:tcW w:type="dxa" w:w="2160"/>
          </w:tcPr>
          <w:p>
            <w:r>
              <w:rPr>
                <w:rFonts w:ascii="Calibri" w:hAnsi="Calibri"/>
                <w:sz w:val="22"/>
              </w:rPr>
              <w:t>SON</w:t>
            </w:r>
          </w:p>
        </w:tc>
        <w:tc>
          <w:tcPr>
            <w:tcW w:type="dxa" w:w="2160"/>
          </w:tcPr>
          <w:p>
            <w:r>
              <w:rPr>
                <w:rFonts w:ascii="Calibri" w:hAnsi="Calibri"/>
                <w:sz w:val="22"/>
              </w:rPr>
              <w:t>Jul 22, 2026</w:t>
            </w:r>
          </w:p>
        </w:tc>
        <w:tc>
          <w:tcPr>
            <w:tcW w:type="dxa" w:w="2160"/>
          </w:tcPr>
          <w:p>
            <w:r>
              <w:rPr>
                <w:rFonts w:ascii="Calibri" w:hAnsi="Calibri"/>
                <w:sz w:val="22"/>
              </w:rPr>
              <w:t>URB mills at 95% utilization (highest in years); $60/ton price increase implemented; energy/freight ~$10M headwind; H2 bullish</w:t>
            </w:r>
          </w:p>
        </w:tc>
        <w:tc>
          <w:tcPr>
            <w:tcW w:type="dxa" w:w="2160"/>
          </w:tcPr>
          <w:p>
            <w:r>
              <w:rPr>
                <w:rFonts w:ascii="Calibri" w:hAnsi="Calibri"/>
                <w:b/>
                <w:color w:val="30A46C"/>
                <w:sz w:val="22"/>
              </w:rPr>
              <w:t>Positive (volume/price) / Negative (energy)</w:t>
            </w:r>
          </w:p>
        </w:tc>
      </w:tr>
      <w:tr>
        <w:tc>
          <w:tcPr>
            <w:tcW w:type="dxa" w:w="2160"/>
          </w:tcPr>
          <w:p>
            <w:r>
              <w:rPr>
                <w:rFonts w:ascii="Calibri" w:hAnsi="Calibri"/>
                <w:sz w:val="22"/>
              </w:rPr>
              <w:t>CCK</w:t>
            </w:r>
          </w:p>
        </w:tc>
        <w:tc>
          <w:tcPr>
            <w:tcW w:type="dxa" w:w="2160"/>
          </w:tcPr>
          <w:p>
            <w:r>
              <w:rPr>
                <w:rFonts w:ascii="Calibri" w:hAnsi="Calibri"/>
                <w:sz w:val="22"/>
              </w:rPr>
              <w:t>Jul 20, 2026</w:t>
            </w:r>
          </w:p>
        </w:tc>
        <w:tc>
          <w:tcPr>
            <w:tcW w:type="dxa" w:w="2160"/>
          </w:tcPr>
          <w:p>
            <w:r>
              <w:rPr>
                <w:rFonts w:ascii="Calibri" w:hAnsi="Calibri"/>
                <w:sz w:val="22"/>
              </w:rPr>
              <w:t>Global beverage can volumes +5%; North America sold out; Middle East conflict driving energy/freight inflation in H2; raised FY EPS guide</w:t>
            </w:r>
          </w:p>
        </w:tc>
        <w:tc>
          <w:tcPr>
            <w:tcW w:type="dxa" w:w="2160"/>
          </w:tcPr>
          <w:p>
            <w:r>
              <w:rPr>
                <w:rFonts w:ascii="Calibri" w:hAnsi="Calibri"/>
                <w:b/>
                <w:color w:val="30A46C"/>
                <w:sz w:val="22"/>
              </w:rPr>
              <w:t>Positive (demand) / Negative (energy H2)</w:t>
            </w:r>
          </w:p>
        </w:tc>
      </w:tr>
      <w:tr>
        <w:tc>
          <w:tcPr>
            <w:tcW w:type="dxa" w:w="2160"/>
          </w:tcPr>
          <w:p>
            <w:r>
              <w:rPr>
                <w:rFonts w:ascii="Calibri" w:hAnsi="Calibri"/>
                <w:sz w:val="22"/>
              </w:rPr>
              <w:t>GPK</w:t>
            </w:r>
          </w:p>
        </w:tc>
        <w:tc>
          <w:tcPr>
            <w:tcW w:type="dxa" w:w="2160"/>
          </w:tcPr>
          <w:p>
            <w:r>
              <w:rPr>
                <w:rFonts w:ascii="Calibri" w:hAnsi="Calibri"/>
                <w:sz w:val="22"/>
              </w:rPr>
              <w:t>May 5, 2026</w:t>
            </w:r>
          </w:p>
        </w:tc>
        <w:tc>
          <w:tcPr>
            <w:tcW w:type="dxa" w:w="2160"/>
          </w:tcPr>
          <w:p>
            <w:r>
              <w:rPr>
                <w:rFonts w:ascii="Calibri" w:hAnsi="Calibri"/>
                <w:sz w:val="22"/>
              </w:rPr>
              <w:t>Consumer demand stabilizing; $60/ton price increase announced; $37M commodity inflation in Q1 (~$10M above plan); FY guide reaffirmed</w:t>
            </w:r>
          </w:p>
        </w:tc>
        <w:tc>
          <w:tcPr>
            <w:tcW w:type="dxa" w:w="2160"/>
          </w:tcPr>
          <w:p>
            <w:r>
              <w:rPr>
                <w:rFonts w:ascii="Calibri" w:hAnsi="Calibri"/>
                <w:b/>
                <w:color w:val="30A46C"/>
                <w:sz w:val="22"/>
              </w:rPr>
              <w:t>Mixed (demand stable, costs elevated)</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rapid and broad-based demand recovery</w:t>
      </w:r>
      <w:r>
        <w:rPr>
          <w:rFonts w:ascii="Calibri" w:hAnsi="Calibri"/>
          <w:color w:val="525866"/>
          <w:sz w:val="22"/>
        </w:rPr>
        <w:t xml:space="preserve"> that management described entering Q2 — sold-out positions across nearly all paper grades, two rounds of North American price increases, and 600+ new corrugated customers — which, if sustained through June, sets up a clean Q2 beat on EBITDA. The secondary watch item is the LSE delisting review, which was resolved in May and removes an overhang.</w:t>
      </w:r>
    </w:p>
    <w:p>
      <w:pPr>
        <w:pStyle w:val="ListBullet"/>
        <w:ind w:left="360" w:hanging="360"/>
      </w:pPr>
      <w:r>
        <w:rPr>
          <w:rFonts w:ascii="Calibri" w:hAnsi="Calibri"/>
          <w:b/>
          <w:color w:val="525866"/>
          <w:sz w:val="22"/>
        </w:rPr>
        <w:t xml:space="preserve">Apr 30, 2026 — Q1 2026 Earnings: Miss on weather/downtime, but demand recovery narrative is the story. </w:t>
      </w:r>
      <w:r>
        <w:rPr>
          <w:rFonts w:ascii="Calibri" w:hAnsi="Calibri"/>
          <w:color w:val="525866"/>
          <w:sz w:val="22"/>
        </w:rPr>
        <w:t xml:space="preserve">SW reported Q1 Adj. EBITDA of $1.076B vs. $1.144B consensus (-5.9%), with ~$65M of weather and ~$74M of downtime headwinds. However, management described a sold-out position across virtually all paper grades entering May, 600+ new corrugated customers in Q1, and two $50/ton North American containerboard price increases in implementation. Full-year Adj. EBITDA guidance reaffirmed at $5.0B–$5.3B. Q2 guidance of $1.1B–$1.2B provided. </w:t>
      </w:r>
      <w:r>
        <w:rPr>
          <w:rFonts w:ascii="Calibri" w:hAnsi="Calibri"/>
          <w:i/>
          <w:color w:val="525866"/>
          <w:sz w:val="22"/>
        </w:rPr>
        <w:t>Implication: Sets a manageable Q2 bar; the demand recovery narrative is the key variable to validate.</w:t>
      </w:r>
    </w:p>
    <w:p>
      <w:pPr>
        <w:pStyle w:val="ListBullet"/>
        <w:ind w:left="360" w:hanging="360"/>
      </w:pPr>
      <w:r>
        <w:rPr>
          <w:rFonts w:ascii="Calibri" w:hAnsi="Calibri"/>
          <w:b/>
          <w:color w:val="525866"/>
          <w:sz w:val="22"/>
        </w:rPr>
        <w:t xml:space="preserve">Apr 30, 2026 — LSE Delisting Review Announced. </w:t>
      </w:r>
      <w:r>
        <w:rPr>
          <w:rFonts w:ascii="Calibri" w:hAnsi="Calibri"/>
          <w:color w:val="525866"/>
          <w:sz w:val="22"/>
        </w:rPr>
        <w:t xml:space="preserve">SW announced a review of its London Stock Exchange listing, with a potential delisting expected to be resolved in May 2026. </w:t>
      </w:r>
      <w:r>
        <w:rPr>
          <w:rFonts w:ascii="Calibri" w:hAnsi="Calibri"/>
          <w:i/>
          <w:color w:val="525866"/>
          <w:sz w:val="22"/>
        </w:rPr>
        <w:t>Implication: Removes a structural overhang; simplifies the listing structure and may improve index inclusion dynamics for US investors.</w:t>
      </w:r>
    </w:p>
    <w:p>
      <w:pPr>
        <w:pStyle w:val="ListBullet"/>
        <w:ind w:left="360" w:hanging="360"/>
      </w:pPr>
      <w:r>
        <w:rPr>
          <w:rFonts w:ascii="Calibri" w:hAnsi="Calibri"/>
          <w:b/>
          <w:color w:val="525866"/>
          <w:sz w:val="22"/>
        </w:rPr>
        <w:t xml:space="preserve">May 1, 2026 — Annual General Meeting: All proposals approved. </w:t>
      </w:r>
      <w:r>
        <w:rPr>
          <w:rFonts w:ascii="Calibri" w:hAnsi="Calibri"/>
          <w:color w:val="525866"/>
          <w:sz w:val="22"/>
        </w:rPr>
        <w:t xml:space="preserve">SW shareholders approved all proposals at the AGM, including board composition and executive compensation. No material surprises. </w:t>
      </w:r>
      <w:r>
        <w:rPr>
          <w:rFonts w:ascii="Calibri" w:hAnsi="Calibri"/>
          <w:i/>
          <w:color w:val="525866"/>
          <w:sz w:val="22"/>
        </w:rPr>
        <w:t>Implication: Governance continuity; no activist pressure or contested votes.</w:t>
      </w:r>
    </w:p>
    <w:p>
      <w:pPr>
        <w:pStyle w:val="ListBullet"/>
        <w:ind w:left="360" w:hanging="360"/>
      </w:pPr>
      <w:r>
        <w:rPr>
          <w:rFonts w:ascii="Calibri" w:hAnsi="Calibri"/>
          <w:b/>
          <w:color w:val="525866"/>
          <w:sz w:val="22"/>
        </w:rPr>
        <w:t xml:space="preserve">May 2026 — North American Containerboard Price Increases in Implementation. </w:t>
      </w:r>
      <w:r>
        <w:rPr>
          <w:rFonts w:ascii="Calibri" w:hAnsi="Calibri"/>
          <w:color w:val="525866"/>
          <w:sz w:val="22"/>
        </w:rPr>
        <w:t xml:space="preserve">The first $50/ton price increase was in progressive implementation through May and June, with full implementation targeted by July 1. A second $50/ton increase was announced, with full implementation targeted by September if successful. </w:t>
      </w:r>
      <w:r>
        <w:rPr>
          <w:rFonts w:ascii="Calibri" w:hAnsi="Calibri"/>
          <w:i/>
          <w:color w:val="525866"/>
          <w:sz w:val="22"/>
        </w:rPr>
        <w:t>Implication: Price realization is the single biggest upside driver for Q2 and H2 2026; PKG's Q2 results confirm the increases are being realized.</w:t>
      </w:r>
    </w:p>
    <w:p>
      <w:pPr>
        <w:pStyle w:val="ListBullet"/>
        <w:ind w:left="360" w:hanging="360"/>
      </w:pPr>
      <w:r>
        <w:rPr>
          <w:rFonts w:ascii="Calibri" w:hAnsi="Calibri"/>
          <w:b/>
          <w:color w:val="525866"/>
          <w:sz w:val="22"/>
        </w:rPr>
        <w:t xml:space="preserve">May 2026 — EMEA/APAC Price Increases Implemented. </w:t>
      </w:r>
      <w:r>
        <w:rPr>
          <w:rFonts w:ascii="Calibri" w:hAnsi="Calibri"/>
          <w:color w:val="525866"/>
          <w:sz w:val="22"/>
        </w:rPr>
        <w:t xml:space="preserve">SW implemented EUR 100/ton recycled paper price increases and increases in kraftliner and specialty grades in EMEA/APAC. These are expected to feed through into converting products in H2 2026, particularly Q3 and Q4. </w:t>
      </w:r>
      <w:r>
        <w:rPr>
          <w:rFonts w:ascii="Calibri" w:hAnsi="Calibri"/>
          <w:i/>
          <w:color w:val="525866"/>
          <w:sz w:val="22"/>
        </w:rPr>
        <w:t>Implication: Positive for EMEA/APAC margin trajectory in H2; EMEA has been the more stable segment.</w:t>
      </w:r>
    </w:p>
    <w:p>
      <w:pPr>
        <w:pStyle w:val="ListBullet"/>
        <w:ind w:left="360" w:hanging="360"/>
      </w:pPr>
      <w:r>
        <w:rPr>
          <w:rFonts w:ascii="Calibri" w:hAnsi="Calibri"/>
          <w:b/>
          <w:color w:val="525866"/>
          <w:sz w:val="22"/>
        </w:rPr>
        <w:t xml:space="preserve">Jun 10, 2026 — Broad-Based Insider Share Awards. </w:t>
      </w:r>
      <w:r>
        <w:rPr>
          <w:rFonts w:ascii="Calibri" w:hAnsi="Calibri"/>
          <w:color w:val="525866"/>
          <w:sz w:val="22"/>
        </w:rPr>
        <w:t xml:space="preserve">Multiple directors and senior executives received share awards (PSP/RSU grants and ordinary share allocations) on June 10, 2026, including CEO Anthony Smurfit (975 RSUs + 521 ordinary shares), CFO Ken Bowles (490 RSUs + 150 ordinary shares), and multiple regional heads. </w:t>
      </w:r>
      <w:r>
        <w:rPr>
          <w:rFonts w:ascii="Calibri" w:hAnsi="Calibri"/>
          <w:i/>
          <w:color w:val="525866"/>
          <w:sz w:val="22"/>
        </w:rPr>
        <w:t>Implication: Routine compensation awards; no open-market purchases or sales. Not a directional signal.</w:t>
      </w:r>
    </w:p>
    <w:p>
      <w:pPr>
        <w:pStyle w:val="ListBullet"/>
        <w:ind w:left="360" w:hanging="360"/>
      </w:pPr>
      <w:r>
        <w:rPr>
          <w:rFonts w:ascii="Calibri" w:hAnsi="Calibri"/>
          <w:b/>
          <w:color w:val="525866"/>
          <w:sz w:val="22"/>
        </w:rPr>
        <w:t xml:space="preserve">Jul 15, 2026 — Q2 2026 Earnings Date Announced (July 29, 2026). </w:t>
      </w:r>
      <w:r>
        <w:rPr>
          <w:rFonts w:ascii="Calibri" w:hAnsi="Calibri"/>
          <w:color w:val="525866"/>
          <w:sz w:val="22"/>
        </w:rPr>
        <w:t xml:space="preserve">SW confirmed Q2 2026 results will be released on July 29, 2026. </w:t>
      </w:r>
      <w:r>
        <w:rPr>
          <w:rFonts w:ascii="Calibri" w:hAnsi="Calibri"/>
          <w:i/>
          <w:color w:val="525866"/>
          <w:sz w:val="22"/>
        </w:rPr>
        <w:t>Implication: No pre-announcement or guidance update issued alongside the date announcement — consistent with guidance being on track.</w:t>
      </w:r>
    </w:p>
    <w:p>
      <w:pPr>
        <w:pStyle w:val="ListBullet"/>
        <w:ind w:left="360" w:hanging="360"/>
      </w:pPr>
      <w:r>
        <w:rPr>
          <w:rFonts w:ascii="Calibri" w:hAnsi="Calibri"/>
          <w:b/>
          <w:color w:val="525866"/>
          <w:sz w:val="22"/>
        </w:rPr>
        <w:t xml:space="preserve">Jul 22–23, 2026 — Peer Earnings (PKG, SON): Strongly positive read-throughs. </w:t>
      </w:r>
      <w:r>
        <w:rPr>
          <w:rFonts w:ascii="Calibri" w:hAnsi="Calibri"/>
          <w:color w:val="525866"/>
          <w:sz w:val="22"/>
        </w:rPr>
        <w:t xml:space="preserve">PKG reported corrugated shipments at an all-time record (+4.1% legacy, +24% total including Greif acquisition) and guided Q3 EPS of $2.91. SON reported URB mills at 95% utilization and reaffirmed FY guidance. Both confirmed elevated freight/energy costs but strong demand. </w:t>
      </w:r>
      <w:r>
        <w:rPr>
          <w:rFonts w:ascii="Calibri" w:hAnsi="Calibri"/>
          <w:i/>
          <w:color w:val="525866"/>
          <w:sz w:val="22"/>
        </w:rPr>
        <w:t>Implication: The most timely and direct read-through for SW's Q2 North American performance; demand and price signals are positive.</w:t>
      </w:r>
    </w:p>
    <w:p>
      <w:pPr>
        <w:pStyle w:val="ListBullet"/>
        <w:ind w:left="360" w:hanging="360"/>
      </w:pPr>
      <w:r>
        <w:rPr>
          <w:rFonts w:ascii="Calibri" w:hAnsi="Calibri"/>
          <w:b/>
          <w:color w:val="525866"/>
          <w:sz w:val="22"/>
        </w:rPr>
        <w:t xml:space="preserve">Jul 24, 2026 — SW Stock +11.1% in a Single Session. </w:t>
      </w:r>
      <w:r>
        <w:rPr>
          <w:rFonts w:ascii="Calibri" w:hAnsi="Calibri"/>
          <w:color w:val="525866"/>
          <w:sz w:val="22"/>
        </w:rPr>
        <w:t xml:space="preserve">SW shares surged ~11% on July 24, likely driven by PKG/SON read-throughs and pre-earnings positioning. The stock closed at $48.56 vs. $43.71 the prior day. </w:t>
      </w:r>
      <w:r>
        <w:rPr>
          <w:rFonts w:ascii="Calibri" w:hAnsi="Calibri"/>
          <w:i/>
          <w:color w:val="525866"/>
          <w:sz w:val="22"/>
        </w:rPr>
        <w:t>Implication: The market has already begun pricing in a strong Q2; raises the bar for a positive stock reaction on July 29.</w:t>
      </w:r>
    </w:p>
    <w:p>
      <w:pPr>
        <w:pStyle w:val="ListBullet"/>
        <w:ind w:left="360" w:hanging="360"/>
      </w:pPr>
      <w:r>
        <w:rPr>
          <w:rFonts w:ascii="Calibri" w:hAnsi="Calibri"/>
          <w:b/>
          <w:color w:val="525866"/>
          <w:sz w:val="22"/>
        </w:rPr>
        <w:t xml:space="preserve">Jul 27–28, 2026 — Analyst Price Target Upgrades. </w:t>
      </w:r>
      <w:r>
        <w:rPr>
          <w:rFonts w:ascii="Calibri" w:hAnsi="Calibri"/>
          <w:color w:val="525866"/>
          <w:sz w:val="22"/>
        </w:rPr>
        <w:t xml:space="preserve">JPMorgan raised its price target from $65 to $71 (Overweight). Truist raised from $50 to $55 (Buy). RBC Capital also raised its price target. Consensus analyst rating is "Moderate Buy" with 11 Buy / 2 Hold ratings and an average price target of ~$54–$55. </w:t>
      </w:r>
      <w:r>
        <w:rPr>
          <w:rFonts w:ascii="Calibri" w:hAnsi="Calibri"/>
          <w:i/>
          <w:color w:val="525866"/>
          <w:sz w:val="22"/>
        </w:rPr>
        <w:t>Implication: Sell-side is constructive heading into the print; PT upgrades reflect the demand recovery and price increase narrative.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filed since Q1 earnings. All transactions are routine compensation-related awards (code A = grant/award, code F = tax withholding on vesting) — there is no directional insider signal heading into Q2 results. The absence of any open-market selling by the CEO or CFO ahead of a stock that has rallied ~32% is mildly constructive.</w:t>
      </w:r>
    </w:p>
    <w:p>
      <w:r>
        <w:rPr>
          <w:rFonts w:ascii="Calibri" w:hAnsi="Calibri"/>
          <w:b/>
          <w:color w:val="525866"/>
          <w:sz w:val="22"/>
        </w:rPr>
        <w:t xml:space="preserve">Note: </w:t>
      </w:r>
      <w:r>
        <w:rPr>
          <w:rFonts w:ascii="Calibri" w:hAnsi="Calibri"/>
          <w:i/>
          <w:color w:val="525866"/>
          <w:sz w:val="22"/>
        </w:rPr>
        <w:t>No open-market purchases (Form 4 code P) or open-market sales (Form 4 code S) were identified in the period since Q1 2026 earnings (April 30, 2026). All Form 4 filings in the period reflect compensation-related transactions only: code A (award/grant of shares or RSUs) and code F (shares withheld for tax on vesting). These are not discretionary trades and carry no directional signal.</w:t>
      </w:r>
    </w:p>
    <w:p>
      <w:pPr>
        <w:pStyle w:val="Heading3"/>
      </w:pPr>
      <w:r>
        <w:rPr>
          <w:rFonts w:ascii="Calibri" w:hAnsi="Calibri"/>
          <w:b/>
          <w:color w:val="3B4259"/>
          <w:sz w:val="24"/>
        </w:rPr>
        <w:t>Compensation Awards — June 10, 2026 (PSP Cycle)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Awarded</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Anthony P.J. Smurfit</w:t>
            </w:r>
          </w:p>
        </w:tc>
        <w:tc>
          <w:tcPr>
            <w:tcW w:type="dxa" w:w="1440"/>
          </w:tcPr>
          <w:p>
            <w:r>
              <w:rPr>
                <w:rFonts w:ascii="Calibri" w:hAnsi="Calibri"/>
                <w:sz w:val="22"/>
              </w:rPr>
              <w:t>President &amp; Group CEO</w:t>
            </w:r>
          </w:p>
        </w:tc>
        <w:tc>
          <w:tcPr>
            <w:tcW w:type="dxa" w:w="1440"/>
          </w:tcPr>
          <w:p>
            <w:r>
              <w:rPr>
                <w:rFonts w:ascii="Calibri" w:hAnsi="Calibri"/>
                <w:sz w:val="22"/>
              </w:rPr>
              <w:t>Award (RSU + Ordinary Shares)</w:t>
            </w:r>
          </w:p>
        </w:tc>
        <w:tc>
          <w:tcPr>
            <w:tcW w:type="dxa" w:w="1440"/>
          </w:tcPr>
          <w:p>
            <w:r>
              <w:rPr>
                <w:rFonts w:ascii="Calibri" w:hAnsi="Calibri"/>
                <w:sz w:val="22"/>
              </w:rPr>
              <w:t>975 RSUs + 521 ord. shares</w:t>
            </w:r>
          </w:p>
        </w:tc>
        <w:tc>
          <w:tcPr>
            <w:tcW w:type="dxa" w:w="1440"/>
          </w:tcPr>
          <w:p>
            <w:r>
              <w:rPr>
                <w:rFonts w:ascii="Calibri" w:hAnsi="Calibri"/>
                <w:sz w:val="22"/>
              </w:rPr>
              <w:t>Jun 10, 2026</w:t>
            </w:r>
          </w:p>
        </w:tc>
        <w:tc>
          <w:tcPr>
            <w:tcW w:type="dxa" w:w="1440"/>
          </w:tcPr>
          <w:p>
            <w:r>
              <w:rPr>
                <w:rFonts w:ascii="Calibri" w:hAnsi="Calibri"/>
                <w:sz w:val="22"/>
              </w:rPr>
              <w:t>Routine PSP compensation award; not a discretionary purchase</w:t>
            </w:r>
          </w:p>
        </w:tc>
      </w:tr>
      <w:tr>
        <w:tc>
          <w:tcPr>
            <w:tcW w:type="dxa" w:w="1440"/>
          </w:tcPr>
          <w:p>
            <w:r>
              <w:rPr>
                <w:rFonts w:ascii="Calibri" w:hAnsi="Calibri"/>
                <w:sz w:val="22"/>
              </w:rPr>
              <w:t>Ken Bowles</w:t>
            </w:r>
          </w:p>
        </w:tc>
        <w:tc>
          <w:tcPr>
            <w:tcW w:type="dxa" w:w="1440"/>
          </w:tcPr>
          <w:p>
            <w:r>
              <w:rPr>
                <w:rFonts w:ascii="Calibri" w:hAnsi="Calibri"/>
                <w:sz w:val="22"/>
              </w:rPr>
              <w:t>EVP &amp; Group CFO</w:t>
            </w:r>
          </w:p>
        </w:tc>
        <w:tc>
          <w:tcPr>
            <w:tcW w:type="dxa" w:w="1440"/>
          </w:tcPr>
          <w:p>
            <w:r>
              <w:rPr>
                <w:rFonts w:ascii="Calibri" w:hAnsi="Calibri"/>
                <w:sz w:val="22"/>
              </w:rPr>
              <w:t>Award (RSU + Ordinary Shares)</w:t>
            </w:r>
          </w:p>
        </w:tc>
        <w:tc>
          <w:tcPr>
            <w:tcW w:type="dxa" w:w="1440"/>
          </w:tcPr>
          <w:p>
            <w:r>
              <w:rPr>
                <w:rFonts w:ascii="Calibri" w:hAnsi="Calibri"/>
                <w:sz w:val="22"/>
              </w:rPr>
              <w:t>490 RSUs + 150 ord. shares</w:t>
            </w:r>
          </w:p>
        </w:tc>
        <w:tc>
          <w:tcPr>
            <w:tcW w:type="dxa" w:w="1440"/>
          </w:tcPr>
          <w:p>
            <w:r>
              <w:rPr>
                <w:rFonts w:ascii="Calibri" w:hAnsi="Calibri"/>
                <w:sz w:val="22"/>
              </w:rPr>
              <w:t>Jun 10, 2026</w:t>
            </w:r>
          </w:p>
        </w:tc>
        <w:tc>
          <w:tcPr>
            <w:tcW w:type="dxa" w:w="1440"/>
          </w:tcPr>
          <w:p>
            <w:r>
              <w:rPr>
                <w:rFonts w:ascii="Calibri" w:hAnsi="Calibri"/>
                <w:sz w:val="22"/>
              </w:rPr>
              <w:t>Routine PSP compensation award; not a discretionary purchase</w:t>
            </w:r>
          </w:p>
        </w:tc>
      </w:tr>
      <w:tr>
        <w:tc>
          <w:tcPr>
            <w:tcW w:type="dxa" w:w="1440"/>
          </w:tcPr>
          <w:p>
            <w:r>
              <w:rPr>
                <w:rFonts w:ascii="Calibri" w:hAnsi="Calibri"/>
                <w:sz w:val="22"/>
              </w:rPr>
              <w:t>Saverio Mayer</w:t>
            </w:r>
          </w:p>
        </w:tc>
        <w:tc>
          <w:tcPr>
            <w:tcW w:type="dxa" w:w="1440"/>
          </w:tcPr>
          <w:p>
            <w:r>
              <w:rPr>
                <w:rFonts w:ascii="Calibri" w:hAnsi="Calibri"/>
                <w:sz w:val="22"/>
              </w:rPr>
              <w:t>Senior Executive (Regional)</w:t>
            </w:r>
          </w:p>
        </w:tc>
        <w:tc>
          <w:tcPr>
            <w:tcW w:type="dxa" w:w="1440"/>
          </w:tcPr>
          <w:p>
            <w:r>
              <w:rPr>
                <w:rFonts w:ascii="Calibri" w:hAnsi="Calibri"/>
                <w:sz w:val="22"/>
              </w:rPr>
              <w:t>Award (RSU + Ordinary Shares)</w:t>
            </w:r>
          </w:p>
        </w:tc>
        <w:tc>
          <w:tcPr>
            <w:tcW w:type="dxa" w:w="1440"/>
          </w:tcPr>
          <w:p>
            <w:r>
              <w:rPr>
                <w:rFonts w:ascii="Calibri" w:hAnsi="Calibri"/>
                <w:sz w:val="22"/>
              </w:rPr>
              <w:t>432 RSUs + 127 ord. shares</w:t>
            </w:r>
          </w:p>
        </w:tc>
        <w:tc>
          <w:tcPr>
            <w:tcW w:type="dxa" w:w="1440"/>
          </w:tcPr>
          <w:p>
            <w:r>
              <w:rPr>
                <w:rFonts w:ascii="Calibri" w:hAnsi="Calibri"/>
                <w:sz w:val="22"/>
              </w:rPr>
              <w:t>Jun 10, 2026</w:t>
            </w:r>
          </w:p>
        </w:tc>
        <w:tc>
          <w:tcPr>
            <w:tcW w:type="dxa" w:w="1440"/>
          </w:tcPr>
          <w:p>
            <w:r>
              <w:rPr>
                <w:rFonts w:ascii="Calibri" w:hAnsi="Calibri"/>
                <w:sz w:val="22"/>
              </w:rPr>
              <w:t>Routine PSP compensation award</w:t>
            </w:r>
          </w:p>
        </w:tc>
      </w:tr>
      <w:tr>
        <w:tc>
          <w:tcPr>
            <w:tcW w:type="dxa" w:w="1440"/>
          </w:tcPr>
          <w:p>
            <w:r>
              <w:rPr>
                <w:rFonts w:ascii="Calibri" w:hAnsi="Calibri"/>
                <w:sz w:val="22"/>
              </w:rPr>
              <w:t>Laurent Sellier</w:t>
            </w:r>
          </w:p>
        </w:tc>
        <w:tc>
          <w:tcPr>
            <w:tcW w:type="dxa" w:w="1440"/>
          </w:tcPr>
          <w:p>
            <w:r>
              <w:rPr>
                <w:rFonts w:ascii="Calibri" w:hAnsi="Calibri"/>
                <w:sz w:val="22"/>
              </w:rPr>
              <w:t>Senior Executive (Regional)</w:t>
            </w:r>
          </w:p>
        </w:tc>
        <w:tc>
          <w:tcPr>
            <w:tcW w:type="dxa" w:w="1440"/>
          </w:tcPr>
          <w:p>
            <w:r>
              <w:rPr>
                <w:rFonts w:ascii="Calibri" w:hAnsi="Calibri"/>
                <w:sz w:val="22"/>
              </w:rPr>
              <w:t>Award (RSU + Ordinary Shares)</w:t>
            </w:r>
          </w:p>
        </w:tc>
        <w:tc>
          <w:tcPr>
            <w:tcW w:type="dxa" w:w="1440"/>
          </w:tcPr>
          <w:p>
            <w:r>
              <w:rPr>
                <w:rFonts w:ascii="Calibri" w:hAnsi="Calibri"/>
                <w:sz w:val="22"/>
              </w:rPr>
              <w:t>359 RSUs + 150 ord. shares</w:t>
            </w:r>
          </w:p>
        </w:tc>
        <w:tc>
          <w:tcPr>
            <w:tcW w:type="dxa" w:w="1440"/>
          </w:tcPr>
          <w:p>
            <w:r>
              <w:rPr>
                <w:rFonts w:ascii="Calibri" w:hAnsi="Calibri"/>
                <w:sz w:val="22"/>
              </w:rPr>
              <w:t>Jun 10, 2026</w:t>
            </w:r>
          </w:p>
        </w:tc>
        <w:tc>
          <w:tcPr>
            <w:tcW w:type="dxa" w:w="1440"/>
          </w:tcPr>
          <w:p>
            <w:r>
              <w:rPr>
                <w:rFonts w:ascii="Calibri" w:hAnsi="Calibri"/>
                <w:sz w:val="22"/>
              </w:rPr>
              <w:t>Routine PSP compensation award</w:t>
            </w:r>
          </w:p>
        </w:tc>
      </w:tr>
      <w:tr>
        <w:tc>
          <w:tcPr>
            <w:tcW w:type="dxa" w:w="1440"/>
          </w:tcPr>
          <w:p>
            <w:r>
              <w:rPr>
                <w:rFonts w:ascii="Calibri" w:hAnsi="Calibri"/>
                <w:sz w:val="22"/>
              </w:rPr>
              <w:t>Alvaro Henao</w:t>
            </w:r>
          </w:p>
        </w:tc>
        <w:tc>
          <w:tcPr>
            <w:tcW w:type="dxa" w:w="1440"/>
          </w:tcPr>
          <w:p>
            <w:r>
              <w:rPr>
                <w:rFonts w:ascii="Calibri" w:hAnsi="Calibri"/>
                <w:sz w:val="22"/>
              </w:rPr>
              <w:t>Senior Executive (Regional)</w:t>
            </w:r>
          </w:p>
        </w:tc>
        <w:tc>
          <w:tcPr>
            <w:tcW w:type="dxa" w:w="1440"/>
          </w:tcPr>
          <w:p>
            <w:r>
              <w:rPr>
                <w:rFonts w:ascii="Calibri" w:hAnsi="Calibri"/>
                <w:sz w:val="22"/>
              </w:rPr>
              <w:t>Award (RSU + Ordinary Shares)</w:t>
            </w:r>
          </w:p>
        </w:tc>
        <w:tc>
          <w:tcPr>
            <w:tcW w:type="dxa" w:w="1440"/>
          </w:tcPr>
          <w:p>
            <w:r>
              <w:rPr>
                <w:rFonts w:ascii="Calibri" w:hAnsi="Calibri"/>
                <w:sz w:val="22"/>
              </w:rPr>
              <w:t>223 RSUs + 38 ord. shares</w:t>
            </w:r>
          </w:p>
        </w:tc>
        <w:tc>
          <w:tcPr>
            <w:tcW w:type="dxa" w:w="1440"/>
          </w:tcPr>
          <w:p>
            <w:r>
              <w:rPr>
                <w:rFonts w:ascii="Calibri" w:hAnsi="Calibri"/>
                <w:sz w:val="22"/>
              </w:rPr>
              <w:t>Jun 10, 2026</w:t>
            </w:r>
          </w:p>
        </w:tc>
        <w:tc>
          <w:tcPr>
            <w:tcW w:type="dxa" w:w="1440"/>
          </w:tcPr>
          <w:p>
            <w:r>
              <w:rPr>
                <w:rFonts w:ascii="Calibri" w:hAnsi="Calibri"/>
                <w:sz w:val="22"/>
              </w:rPr>
              <w:t>Routine PSP compensation award</w:t>
            </w:r>
          </w:p>
        </w:tc>
      </w:tr>
      <w:tr>
        <w:tc>
          <w:tcPr>
            <w:tcW w:type="dxa" w:w="1440"/>
          </w:tcPr>
          <w:p>
            <w:r>
              <w:rPr>
                <w:rFonts w:ascii="Calibri" w:hAnsi="Calibri"/>
                <w:sz w:val="22"/>
              </w:rPr>
              <w:t>Irene Page</w:t>
            </w:r>
          </w:p>
        </w:tc>
        <w:tc>
          <w:tcPr>
            <w:tcW w:type="dxa" w:w="1440"/>
          </w:tcPr>
          <w:p>
            <w:r>
              <w:rPr>
                <w:rFonts w:ascii="Calibri" w:hAnsi="Calibri"/>
                <w:sz w:val="22"/>
              </w:rPr>
              <w:t>Chief Accounting Officer</w:t>
            </w:r>
          </w:p>
        </w:tc>
        <w:tc>
          <w:tcPr>
            <w:tcW w:type="dxa" w:w="1440"/>
          </w:tcPr>
          <w:p>
            <w:r>
              <w:rPr>
                <w:rFonts w:ascii="Calibri" w:hAnsi="Calibri"/>
                <w:sz w:val="22"/>
              </w:rPr>
              <w:t>Award (RSU + Ordinary Shares)</w:t>
            </w:r>
          </w:p>
        </w:tc>
        <w:tc>
          <w:tcPr>
            <w:tcW w:type="dxa" w:w="1440"/>
          </w:tcPr>
          <w:p>
            <w:r>
              <w:rPr>
                <w:rFonts w:ascii="Calibri" w:hAnsi="Calibri"/>
                <w:sz w:val="22"/>
              </w:rPr>
              <w:t>163 RSUs + 25 ord. shares</w:t>
            </w:r>
          </w:p>
        </w:tc>
        <w:tc>
          <w:tcPr>
            <w:tcW w:type="dxa" w:w="1440"/>
          </w:tcPr>
          <w:p>
            <w:r>
              <w:rPr>
                <w:rFonts w:ascii="Calibri" w:hAnsi="Calibri"/>
                <w:sz w:val="22"/>
              </w:rPr>
              <w:t>Jun 10, 2026</w:t>
            </w:r>
          </w:p>
        </w:tc>
        <w:tc>
          <w:tcPr>
            <w:tcW w:type="dxa" w:w="1440"/>
          </w:tcPr>
          <w:p>
            <w:r>
              <w:rPr>
                <w:rFonts w:ascii="Calibri" w:hAnsi="Calibri"/>
                <w:sz w:val="22"/>
              </w:rPr>
              <w:t>Routine PSP compensation award</w:t>
            </w:r>
          </w:p>
        </w:tc>
      </w:tr>
      <w:tr>
        <w:tc>
          <w:tcPr>
            <w:tcW w:type="dxa" w:w="1440"/>
          </w:tcPr>
          <w:p>
            <w:r>
              <w:rPr>
                <w:rFonts w:ascii="Calibri" w:hAnsi="Calibri"/>
                <w:sz w:val="22"/>
              </w:rPr>
              <w:t>Multiple Directors (9)</w:t>
            </w:r>
          </w:p>
        </w:tc>
        <w:tc>
          <w:tcPr>
            <w:tcW w:type="dxa" w:w="1440"/>
          </w:tcPr>
          <w:p>
            <w:r>
              <w:rPr>
                <w:rFonts w:ascii="Calibri" w:hAnsi="Calibri"/>
                <w:sz w:val="22"/>
              </w:rPr>
              <w:t>Non-Executive Directors</w:t>
            </w:r>
          </w:p>
        </w:tc>
        <w:tc>
          <w:tcPr>
            <w:tcW w:type="dxa" w:w="1440"/>
          </w:tcPr>
          <w:p>
            <w:r>
              <w:rPr>
                <w:rFonts w:ascii="Calibri" w:hAnsi="Calibri"/>
                <w:sz w:val="22"/>
              </w:rPr>
              <w:t>Award (Ordinary Shares)</w:t>
            </w:r>
          </w:p>
        </w:tc>
        <w:tc>
          <w:tcPr>
            <w:tcW w:type="dxa" w:w="1440"/>
          </w:tcPr>
          <w:p>
            <w:r>
              <w:rPr>
                <w:rFonts w:ascii="Calibri" w:hAnsi="Calibri"/>
                <w:sz w:val="22"/>
              </w:rPr>
              <w:t>51–721 ord. shares each</w:t>
            </w:r>
          </w:p>
        </w:tc>
        <w:tc>
          <w:tcPr>
            <w:tcW w:type="dxa" w:w="1440"/>
          </w:tcPr>
          <w:p>
            <w:r>
              <w:rPr>
                <w:rFonts w:ascii="Calibri" w:hAnsi="Calibri"/>
                <w:sz w:val="22"/>
              </w:rPr>
              <w:t>Jun 10, 2026</w:t>
            </w:r>
          </w:p>
        </w:tc>
        <w:tc>
          <w:tcPr>
            <w:tcW w:type="dxa" w:w="1440"/>
          </w:tcPr>
          <w:p>
            <w:r>
              <w:rPr>
                <w:rFonts w:ascii="Calibri" w:hAnsi="Calibri"/>
                <w:sz w:val="22"/>
              </w:rPr>
              <w:t>Routine director fee share awards</w:t>
            </w:r>
          </w:p>
        </w:tc>
      </w:tr>
    </w:tbl>
    <w:p>
      <w:pPr>
        <w:pStyle w:val="Heading3"/>
      </w:pPr>
      <w:r>
        <w:rPr>
          <w:rFonts w:ascii="Calibri" w:hAnsi="Calibri"/>
          <w:b/>
          <w:color w:val="3B4259"/>
          <w:sz w:val="24"/>
        </w:rPr>
        <w:t>Compensation Awards — May 15, 2026 (Dividend Equivalent / LTIP)</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Awarded</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Anthony P.J. Smurfit</w:t>
            </w:r>
          </w:p>
        </w:tc>
        <w:tc>
          <w:tcPr>
            <w:tcW w:type="dxa" w:w="1440"/>
          </w:tcPr>
          <w:p>
            <w:r>
              <w:rPr>
                <w:rFonts w:ascii="Calibri" w:hAnsi="Calibri"/>
                <w:sz w:val="22"/>
              </w:rPr>
              <w:t>President &amp; Group CEO</w:t>
            </w:r>
          </w:p>
        </w:tc>
        <w:tc>
          <w:tcPr>
            <w:tcW w:type="dxa" w:w="1440"/>
          </w:tcPr>
          <w:p>
            <w:r>
              <w:rPr>
                <w:rFonts w:ascii="Calibri" w:hAnsi="Calibri"/>
                <w:sz w:val="22"/>
              </w:rPr>
              <w:t>Award (Ordinary Shares)</w:t>
            </w:r>
          </w:p>
        </w:tc>
        <w:tc>
          <w:tcPr>
            <w:tcW w:type="dxa" w:w="1440"/>
          </w:tcPr>
          <w:p>
            <w:r>
              <w:rPr>
                <w:rFonts w:ascii="Calibri" w:hAnsi="Calibri"/>
                <w:sz w:val="22"/>
              </w:rPr>
              <w:t>1,018 ord. shares</w:t>
            </w:r>
          </w:p>
        </w:tc>
        <w:tc>
          <w:tcPr>
            <w:tcW w:type="dxa" w:w="1440"/>
          </w:tcPr>
          <w:p>
            <w:r>
              <w:rPr>
                <w:rFonts w:ascii="Calibri" w:hAnsi="Calibri"/>
                <w:sz w:val="22"/>
              </w:rPr>
              <w:t>May 15, 2026</w:t>
            </w:r>
          </w:p>
        </w:tc>
        <w:tc>
          <w:tcPr>
            <w:tcW w:type="dxa" w:w="1440"/>
          </w:tcPr>
          <w:p>
            <w:r>
              <w:rPr>
                <w:rFonts w:ascii="Calibri" w:hAnsi="Calibri"/>
                <w:sz w:val="22"/>
              </w:rPr>
              <w:t>Routine LTIP/dividend equivalent award</w:t>
            </w:r>
          </w:p>
        </w:tc>
      </w:tr>
      <w:tr>
        <w:tc>
          <w:tcPr>
            <w:tcW w:type="dxa" w:w="1440"/>
          </w:tcPr>
          <w:p>
            <w:r>
              <w:rPr>
                <w:rFonts w:ascii="Calibri" w:hAnsi="Calibri"/>
                <w:sz w:val="22"/>
              </w:rPr>
              <w:t>Ken Bowles</w:t>
            </w:r>
          </w:p>
        </w:tc>
        <w:tc>
          <w:tcPr>
            <w:tcW w:type="dxa" w:w="1440"/>
          </w:tcPr>
          <w:p>
            <w:r>
              <w:rPr>
                <w:rFonts w:ascii="Calibri" w:hAnsi="Calibri"/>
                <w:sz w:val="22"/>
              </w:rPr>
              <w:t>EVP &amp; Group CFO</w:t>
            </w:r>
          </w:p>
        </w:tc>
        <w:tc>
          <w:tcPr>
            <w:tcW w:type="dxa" w:w="1440"/>
          </w:tcPr>
          <w:p>
            <w:r>
              <w:rPr>
                <w:rFonts w:ascii="Calibri" w:hAnsi="Calibri"/>
                <w:sz w:val="22"/>
              </w:rPr>
              <w:t>Award (Ordinary Shares)</w:t>
            </w:r>
          </w:p>
        </w:tc>
        <w:tc>
          <w:tcPr>
            <w:tcW w:type="dxa" w:w="1440"/>
          </w:tcPr>
          <w:p>
            <w:r>
              <w:rPr>
                <w:rFonts w:ascii="Calibri" w:hAnsi="Calibri"/>
                <w:sz w:val="22"/>
              </w:rPr>
              <w:t>303 ord. shares</w:t>
            </w:r>
          </w:p>
        </w:tc>
        <w:tc>
          <w:tcPr>
            <w:tcW w:type="dxa" w:w="1440"/>
          </w:tcPr>
          <w:p>
            <w:r>
              <w:rPr>
                <w:rFonts w:ascii="Calibri" w:hAnsi="Calibri"/>
                <w:sz w:val="22"/>
              </w:rPr>
              <w:t>May 15, 2026</w:t>
            </w:r>
          </w:p>
        </w:tc>
        <w:tc>
          <w:tcPr>
            <w:tcW w:type="dxa" w:w="1440"/>
          </w:tcPr>
          <w:p>
            <w:r>
              <w:rPr>
                <w:rFonts w:ascii="Calibri" w:hAnsi="Calibri"/>
                <w:sz w:val="22"/>
              </w:rPr>
              <w:t>Routine LTIP/dividend equivalent award</w:t>
            </w:r>
          </w:p>
        </w:tc>
      </w:tr>
      <w:tr>
        <w:tc>
          <w:tcPr>
            <w:tcW w:type="dxa" w:w="1440"/>
          </w:tcPr>
          <w:p>
            <w:r>
              <w:rPr>
                <w:rFonts w:ascii="Calibri" w:hAnsi="Calibri"/>
                <w:sz w:val="22"/>
              </w:rPr>
              <w:t>Saverio Mayer</w:t>
            </w:r>
          </w:p>
        </w:tc>
        <w:tc>
          <w:tcPr>
            <w:tcW w:type="dxa" w:w="1440"/>
          </w:tcPr>
          <w:p>
            <w:r>
              <w:rPr>
                <w:rFonts w:ascii="Calibri" w:hAnsi="Calibri"/>
                <w:sz w:val="22"/>
              </w:rPr>
              <w:t>Senior Executive (Regional)</w:t>
            </w:r>
          </w:p>
        </w:tc>
        <w:tc>
          <w:tcPr>
            <w:tcW w:type="dxa" w:w="1440"/>
          </w:tcPr>
          <w:p>
            <w:r>
              <w:rPr>
                <w:rFonts w:ascii="Calibri" w:hAnsi="Calibri"/>
                <w:sz w:val="22"/>
              </w:rPr>
              <w:t>Award (Ordinary Shares)</w:t>
            </w:r>
          </w:p>
        </w:tc>
        <w:tc>
          <w:tcPr>
            <w:tcW w:type="dxa" w:w="1440"/>
          </w:tcPr>
          <w:p>
            <w:r>
              <w:rPr>
                <w:rFonts w:ascii="Calibri" w:hAnsi="Calibri"/>
                <w:sz w:val="22"/>
              </w:rPr>
              <w:t>253 ord. shares</w:t>
            </w:r>
          </w:p>
        </w:tc>
        <w:tc>
          <w:tcPr>
            <w:tcW w:type="dxa" w:w="1440"/>
          </w:tcPr>
          <w:p>
            <w:r>
              <w:rPr>
                <w:rFonts w:ascii="Calibri" w:hAnsi="Calibri"/>
                <w:sz w:val="22"/>
              </w:rPr>
              <w:t>May 15, 2026</w:t>
            </w:r>
          </w:p>
        </w:tc>
        <w:tc>
          <w:tcPr>
            <w:tcW w:type="dxa" w:w="1440"/>
          </w:tcPr>
          <w:p>
            <w:r>
              <w:rPr>
                <w:rFonts w:ascii="Calibri" w:hAnsi="Calibri"/>
                <w:sz w:val="22"/>
              </w:rPr>
              <w:t>Routine LTIP/dividend equivalent award</w:t>
            </w:r>
          </w:p>
        </w:tc>
      </w:tr>
      <w:tr>
        <w:tc>
          <w:tcPr>
            <w:tcW w:type="dxa" w:w="1440"/>
          </w:tcPr>
          <w:p>
            <w:r>
              <w:rPr>
                <w:rFonts w:ascii="Calibri" w:hAnsi="Calibri"/>
                <w:sz w:val="22"/>
              </w:rPr>
              <w:t>Laurent Sellier</w:t>
            </w:r>
          </w:p>
        </w:tc>
        <w:tc>
          <w:tcPr>
            <w:tcW w:type="dxa" w:w="1440"/>
          </w:tcPr>
          <w:p>
            <w:r>
              <w:rPr>
                <w:rFonts w:ascii="Calibri" w:hAnsi="Calibri"/>
                <w:sz w:val="22"/>
              </w:rPr>
              <w:t>Senior Executive (Regional)</w:t>
            </w:r>
          </w:p>
        </w:tc>
        <w:tc>
          <w:tcPr>
            <w:tcW w:type="dxa" w:w="1440"/>
          </w:tcPr>
          <w:p>
            <w:r>
              <w:rPr>
                <w:rFonts w:ascii="Calibri" w:hAnsi="Calibri"/>
                <w:sz w:val="22"/>
              </w:rPr>
              <w:t>Award (Ordinary Shares)</w:t>
            </w:r>
          </w:p>
        </w:tc>
        <w:tc>
          <w:tcPr>
            <w:tcW w:type="dxa" w:w="1440"/>
          </w:tcPr>
          <w:p>
            <w:r>
              <w:rPr>
                <w:rFonts w:ascii="Calibri" w:hAnsi="Calibri"/>
                <w:sz w:val="22"/>
              </w:rPr>
              <w:t>303 ord. shares</w:t>
            </w:r>
          </w:p>
        </w:tc>
        <w:tc>
          <w:tcPr>
            <w:tcW w:type="dxa" w:w="1440"/>
          </w:tcPr>
          <w:p>
            <w:r>
              <w:rPr>
                <w:rFonts w:ascii="Calibri" w:hAnsi="Calibri"/>
                <w:sz w:val="22"/>
              </w:rPr>
              <w:t>May 15, 2026</w:t>
            </w:r>
          </w:p>
        </w:tc>
        <w:tc>
          <w:tcPr>
            <w:tcW w:type="dxa" w:w="1440"/>
          </w:tcPr>
          <w:p>
            <w:r>
              <w:rPr>
                <w:rFonts w:ascii="Calibri" w:hAnsi="Calibri"/>
                <w:sz w:val="22"/>
              </w:rPr>
              <w:t>Routine LTIP/dividend equivalent award</w:t>
            </w:r>
          </w:p>
        </w:tc>
      </w:tr>
    </w:tbl>
    <w:p>
      <w:r>
        <w:rPr>
          <w:rFonts w:ascii="Calibri" w:hAnsi="Calibri"/>
          <w:i/>
          <w:color w:val="525866"/>
          <w:sz w:val="22"/>
        </w:rPr>
        <w:t>Source: Insider Transaction Data (SEC Form 4 filings). All transactions are compensation-related awards (code A = grant/award; code F = tax withholding on vesting). No open-market purchases (code P) or open-market sales (code S) were identified in the period since Q1 2026 earnings. The absence of discretionary selling by senior management ahead of a ~32% stock rally is mildly constructive.</w:t>
      </w:r>
    </w:p>
    <w:p>
      <w:r>
        <w:br w:type="page"/>
      </w:r>
    </w:p>
    <w:p>
      <w:pPr>
        <w:pStyle w:val="Heading2"/>
      </w:pPr>
      <w:r>
        <w:rPr>
          <w:rFonts w:ascii="Calibri" w:hAnsi="Calibri"/>
          <w:b/>
          <w:color w:val="3B4259"/>
          <w:sz w:val="28"/>
        </w:rPr>
        <w:t>Disclosures &amp; Data Sources</w:t>
      </w:r>
    </w:p>
    <w:p>
      <w:pPr>
        <w:pStyle w:val="ListBullet"/>
        <w:ind w:left="360" w:hanging="360"/>
      </w:pPr>
      <w:r>
        <w:rPr>
          <w:rFonts w:ascii="Calibri" w:hAnsi="Calibri"/>
          <w:b/>
          <w:color w:val="525866"/>
          <w:sz w:val="22"/>
        </w:rPr>
        <w:t xml:space="preserve">Consensus and actuals data: </w:t>
      </w:r>
      <w:r>
        <w:rPr>
          <w:rFonts w:ascii="Calibri" w:hAnsi="Calibri"/>
          <w:color w:val="525866"/>
          <w:sz w:val="22"/>
        </w:rPr>
        <w:t>Visible Alpha Consensus and Actuals Data (all KPI tables, beat/miss history, revision tracker).</w:t>
      </w:r>
    </w:p>
    <w:p>
      <w:pPr>
        <w:pStyle w:val="ListBullet"/>
        <w:ind w:left="360" w:hanging="360"/>
      </w:pPr>
      <w:r>
        <w:rPr>
          <w:rFonts w:ascii="Calibri" w:hAnsi="Calibri"/>
          <w:b/>
          <w:color w:val="525866"/>
          <w:sz w:val="22"/>
        </w:rPr>
        <w:t xml:space="preserve">Stock price data: </w:t>
      </w:r>
      <w:r>
        <w:rPr>
          <w:rFonts w:ascii="Calibri" w:hAnsi="Calibri"/>
          <w:color w:val="525866"/>
          <w:sz w:val="22"/>
        </w:rPr>
        <w:t>Stock Price Data (Yahoo Finance). SW, IP, PKG closing prices April 30 – July 28, 2026.</w:t>
      </w:r>
    </w:p>
    <w:p>
      <w:pPr>
        <w:pStyle w:val="ListBullet"/>
        <w:ind w:left="360" w:hanging="360"/>
      </w:pPr>
      <w:r>
        <w:rPr>
          <w:rFonts w:ascii="Calibri" w:hAnsi="Calibri"/>
          <w:b/>
          <w:color w:val="525866"/>
          <w:sz w:val="22"/>
        </w:rPr>
        <w:t xml:space="preserve">Insider transaction data: </w:t>
      </w:r>
      <w:r>
        <w:rPr>
          <w:rFonts w:ascii="Calibri" w:hAnsi="Calibri"/>
          <w:color w:val="525866"/>
          <w:sz w:val="22"/>
        </w:rPr>
        <w:t>Insider Transaction Data (SEC Form 4 filings).</w:t>
      </w:r>
    </w:p>
    <w:p>
      <w:pPr>
        <w:pStyle w:val="ListBullet"/>
        <w:ind w:left="360" w:hanging="360"/>
      </w:pPr>
      <w:r>
        <w:rPr>
          <w:rFonts w:ascii="Calibri" w:hAnsi="Calibri"/>
          <w:b/>
          <w:color w:val="525866"/>
          <w:sz w:val="22"/>
        </w:rPr>
        <w:t xml:space="preserve">Peer commentary: </w:t>
      </w:r>
      <w:r>
        <w:rPr>
          <w:rFonts w:ascii="Calibri" w:hAnsi="Calibri"/>
          <w:color w:val="525866"/>
          <w:sz w:val="22"/>
        </w:rPr>
        <w:t>PKG Q2 2026 earnings call transcript (July 23, 2026); SON Q2 2026 earnings call transcript (July 23, 2026); CCK Q2 2026 earnings call transcript (July 21, 2026); GPK Q1 2026 earnings call transcript (May 5, 2026).</w:t>
      </w:r>
    </w:p>
    <w:p>
      <w:pPr>
        <w:pStyle w:val="ListBullet"/>
        <w:ind w:left="360" w:hanging="360"/>
      </w:pPr>
      <w:r>
        <w:rPr>
          <w:rFonts w:ascii="Calibri" w:hAnsi="Calibri"/>
          <w:b/>
          <w:color w:val="525866"/>
          <w:sz w:val="22"/>
        </w:rPr>
        <w:t xml:space="preserve">Company filings: </w:t>
      </w:r>
      <w:r>
        <w:rPr>
          <w:rFonts w:ascii="Calibri" w:hAnsi="Calibri"/>
          <w:color w:val="525866"/>
          <w:sz w:val="22"/>
        </w:rPr>
        <w:t>SW Q1 2026 earnings call transcript (April 30, 2026); SW press releases and 8-K filings.</w:t>
      </w:r>
    </w:p>
    <w:p>
      <w:pPr>
        <w:pStyle w:val="ListBullet"/>
        <w:ind w:left="360" w:hanging="360"/>
      </w:pPr>
      <w:r>
        <w:rPr>
          <w:rFonts w:ascii="Calibri" w:hAnsi="Calibri"/>
          <w:b/>
          <w:color w:val="525866"/>
          <w:sz w:val="22"/>
        </w:rPr>
        <w:t xml:space="preserve">Analyst ratings: </w:t>
      </w:r>
      <w:r>
        <w:rPr>
          <w:rFonts w:ascii="Calibri" w:hAnsi="Calibri"/>
          <w:color w:val="525866"/>
          <w:sz w:val="22"/>
        </w:rPr>
        <w:t>MarketBeat, Perplexity (internet search). JPMorgan PT $71 (Overweight), Truist PT $55 (Buy), Morgan Stanley PT $57 (Overweight), Barclays PT $52 (Overweight), Deutsche Bank initiated Buy at $57.</w:t>
      </w:r>
    </w:p>
    <w:p>
      <w:pPr>
        <w:pStyle w:val="ListBullet"/>
        <w:ind w:left="360" w:hanging="360"/>
      </w:pPr>
      <w:r>
        <w:rPr>
          <w:rFonts w:ascii="Calibri" w:hAnsi="Calibri"/>
          <w:i/>
          <w:color w:val="525866"/>
          <w:sz w:val="22"/>
        </w:rPr>
        <w:t>This document is prepared for informational purposes only and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