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Smurfit WestRock (SW)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Smurfit WestRock plc</w:t>
            </w:r>
          </w:p>
        </w:tc>
      </w:tr>
      <w:tr>
        <w:tc>
          <w:tcPr>
            <w:tcW w:type="dxa" w:w="4320"/>
          </w:tcPr>
          <w:p>
            <w:r>
              <w:rPr>
                <w:rFonts w:ascii="Calibri" w:hAnsi="Calibri"/>
                <w:b/>
                <w:sz w:val="22"/>
              </w:rPr>
              <w:t>Ticker</w:t>
            </w:r>
          </w:p>
        </w:tc>
        <w:tc>
          <w:tcPr>
            <w:tcW w:type="dxa" w:w="4320"/>
          </w:tcPr>
          <w:p>
            <w:r>
              <w:rPr>
                <w:rFonts w:ascii="Calibri" w:hAnsi="Calibri"/>
                <w:sz w:val="22"/>
              </w:rPr>
              <w:t>SW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 Pre-market (7:30 AM ET)</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Last Earnings</w:t>
            </w:r>
          </w:p>
        </w:tc>
        <w:tc>
          <w:tcPr>
            <w:tcW w:type="dxa" w:w="4320"/>
          </w:tcPr>
          <w:p>
            <w:r>
              <w:rPr>
                <w:rFonts w:ascii="Calibri" w:hAnsi="Calibri"/>
                <w:sz w:val="22"/>
              </w:rPr>
              <w:t>April 30,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Consensus is a manageable bar heading into Q2 — the $1.15B EBITDA estimate sits near the midpoint of management's $1.1–$1.2B guidance range — but the real swing factor is whether the unprecedented demand inflection management described in late April has held through June, and whether energy cost headwinds (now guided $270–290M for the full year vs. $80M originally) are fully in the numbers.</w:t>
      </w:r>
    </w:p>
    <w:p>
      <w:r>
        <w:rPr>
          <w:rFonts w:ascii="Calibri" w:hAnsi="Calibri"/>
          <w:color w:val="525866"/>
          <w:sz w:val="22"/>
        </w:rPr>
        <w:t xml:space="preserve">Smurfit WestRock heads into its Q2 2026 print with a setup that is more constructive than the Q1 miss suggested. Management guided Q2 Adjusted EBITDA of $1.1–$1.2B on April 30 — a wide range that reflects genuine macro uncertainty — and consensus at ~$1.15B sits squarely at the midpoint, leaving room for a modest beat if the demand recovery that management described as "unprecedented in speed" has continued through June. The bar on volumes is low: Q1 corrugated box volumes were down ~7% YoY, April improved to down ~4%, and management guided for H2 volume growth, so any sequential improvement in Q2 will be read positively. </w:t>
      </w:r>
      <w:r>
        <w:rPr>
          <w:rFonts w:ascii="Calibri" w:hAnsi="Calibri"/>
          <w:b/>
          <w:color w:val="525866"/>
          <w:sz w:val="22"/>
        </w:rPr>
        <w:t xml:space="preserve">The key risk is energy: </w:t>
      </w:r>
      <w:r>
        <w:rPr>
          <w:rFonts w:ascii="Calibri" w:hAnsi="Calibri"/>
          <w:color w:val="525866"/>
          <w:sz w:val="22"/>
        </w:rPr>
        <w:t>the full-year energy headwind was revised from $80M to $270–290M at the Q1 call, and with only ~50% hedged in Q2 and ~1/3 hedged in Q3/Q4, any further energy price escalation (particularly in EMEA) could pressure margins. On the positive side, North American containerboard price increases of $50/ton were expected to be fully implemented by July 1, and a second $50/ton increase was announced — if even partially realized in Q2, it provides meaningful upside to the EBITDA bridge. The stock has rallied ~32% from its April 30 post-earnings low to ~$50.80, re-rating from ~6.4x to ~7.3x NTM EV/EBITDA, suggesting the market has already priced in a solid recovery; the wildcard is whether management raises or narrows full-year guidance, which would be the clearest signal that the integration and demand recovery are on track.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EBITDA of ~$1.15B sits at the midpoint of guidance, making it a fair but not demanding bar; the bigger swing factor is EBITDA margin, where Q1’s 13.95% trough should recover meaningfully given the absence of the $65M weather/downtime drag and the benefit of price increases flowing through.</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$7.712B</w:t>
            </w:r>
          </w:p>
        </w:tc>
        <w:tc>
          <w:tcPr>
            <w:tcW w:type="dxa" w:w="1234"/>
          </w:tcPr>
          <w:p>
            <w:r>
              <w:rPr>
                <w:rFonts w:ascii="Calibri" w:hAnsi="Calibri"/>
                <w:sz w:val="22"/>
              </w:rPr>
              <w:t>$7.940B</w:t>
            </w:r>
          </w:p>
        </w:tc>
        <w:tc>
          <w:tcPr>
            <w:tcW w:type="dxa" w:w="1234"/>
          </w:tcPr>
          <w:p>
            <w:r>
              <w:rPr>
                <w:rFonts w:ascii="Calibri" w:hAnsi="Calibri"/>
                <w:sz w:val="22"/>
              </w:rPr>
              <w:t>$7.981B</w:t>
            </w:r>
          </w:p>
        </w:tc>
        <w:tc>
          <w:tcPr>
            <w:tcW w:type="dxa" w:w="1234"/>
          </w:tcPr>
          <w:p>
            <w:r>
              <w:rPr>
                <w:rFonts w:ascii="Calibri" w:hAnsi="Calibri"/>
                <w:sz w:val="22"/>
              </w:rPr>
              <w:t>+0.5% YoY</w:t>
            </w:r>
          </w:p>
        </w:tc>
        <w:tc>
          <w:tcPr>
            <w:tcW w:type="dxa" w:w="1234"/>
          </w:tcPr>
          <w:p>
            <w:r>
              <w:rPr>
                <w:rFonts w:ascii="Calibri" w:hAnsi="Calibri"/>
                <w:sz w:val="22"/>
              </w:rPr>
              <w:t>Not provided</w:t>
            </w:r>
          </w:p>
        </w:tc>
        <w:tc>
          <w:tcPr>
            <w:tcW w:type="dxa" w:w="1234"/>
          </w:tcPr>
          <w:p>
            <w:r>
              <w:rPr>
                <w:rFonts w:ascii="Calibri" w:hAnsi="Calibri"/>
                <w:sz w:val="22"/>
              </w:rPr>
              <w:t>N/A</w:t>
            </w:r>
          </w:p>
        </w:tc>
      </w:tr>
      <w:tr>
        <w:tc>
          <w:tcPr>
            <w:tcW w:type="dxa" w:w="1234"/>
          </w:tcPr>
          <w:p>
            <w:r>
              <w:rPr>
                <w:rFonts w:ascii="Calibri" w:hAnsi="Calibri"/>
                <w:sz w:val="22"/>
              </w:rPr>
              <w:t>Adj. EBITDA ($B)</w:t>
            </w:r>
          </w:p>
        </w:tc>
        <w:tc>
          <w:tcPr>
            <w:tcW w:type="dxa" w:w="1234"/>
          </w:tcPr>
          <w:p>
            <w:r>
              <w:rPr>
                <w:rFonts w:ascii="Calibri" w:hAnsi="Calibri"/>
                <w:sz w:val="22"/>
              </w:rPr>
              <w:t>$1.076B</w:t>
            </w:r>
          </w:p>
        </w:tc>
        <w:tc>
          <w:tcPr>
            <w:tcW w:type="dxa" w:w="1234"/>
          </w:tcPr>
          <w:p>
            <w:r>
              <w:rPr>
                <w:rFonts w:ascii="Calibri" w:hAnsi="Calibri"/>
                <w:sz w:val="22"/>
              </w:rPr>
              <w:t>$1.213B</w:t>
            </w:r>
          </w:p>
        </w:tc>
        <w:tc>
          <w:tcPr>
            <w:tcW w:type="dxa" w:w="1234"/>
          </w:tcPr>
          <w:p>
            <w:r>
              <w:rPr>
                <w:rFonts w:ascii="Calibri" w:hAnsi="Calibri"/>
                <w:sz w:val="22"/>
              </w:rPr>
              <w:t>$1.152B</w:t>
            </w:r>
          </w:p>
        </w:tc>
        <w:tc>
          <w:tcPr>
            <w:tcW w:type="dxa" w:w="1234"/>
          </w:tcPr>
          <w:p>
            <w:r>
              <w:rPr>
                <w:rFonts w:ascii="Calibri" w:hAnsi="Calibri"/>
                <w:sz w:val="22"/>
              </w:rPr>
              <w:t>-5.0% YoY</w:t>
            </w:r>
          </w:p>
        </w:tc>
        <w:tc>
          <w:tcPr>
            <w:tcW w:type="dxa" w:w="1234"/>
          </w:tcPr>
          <w:p>
            <w:r>
              <w:rPr>
                <w:rFonts w:ascii="Calibri" w:hAnsi="Calibri"/>
                <w:sz w:val="22"/>
              </w:rPr>
              <w:t>$1.10–$1.20B (mid: $1.15B)</w:t>
            </w:r>
          </w:p>
        </w:tc>
        <w:tc>
          <w:tcPr>
            <w:tcW w:type="dxa" w:w="1234"/>
          </w:tcPr>
          <w:p>
            <w:r>
              <w:rPr>
                <w:rFonts w:ascii="Calibri" w:hAnsi="Calibri"/>
                <w:sz w:val="22"/>
              </w:rPr>
              <w:t>+0.2% vs. midpoint</w:t>
            </w:r>
          </w:p>
        </w:tc>
      </w:tr>
      <w:tr>
        <w:tc>
          <w:tcPr>
            <w:tcW w:type="dxa" w:w="1234"/>
          </w:tcPr>
          <w:p>
            <w:r>
              <w:rPr>
                <w:rFonts w:ascii="Calibri" w:hAnsi="Calibri"/>
                <w:sz w:val="22"/>
              </w:rPr>
              <w:t>Adj. EBITDA Margin (%)</w:t>
            </w:r>
          </w:p>
        </w:tc>
        <w:tc>
          <w:tcPr>
            <w:tcW w:type="dxa" w:w="1234"/>
          </w:tcPr>
          <w:p>
            <w:r>
              <w:rPr>
                <w:rFonts w:ascii="Calibri" w:hAnsi="Calibri"/>
                <w:sz w:val="22"/>
              </w:rPr>
              <w:t>13.95%</w:t>
            </w:r>
          </w:p>
        </w:tc>
        <w:tc>
          <w:tcPr>
            <w:tcW w:type="dxa" w:w="1234"/>
          </w:tcPr>
          <w:p>
            <w:r>
              <w:rPr>
                <w:rFonts w:ascii="Calibri" w:hAnsi="Calibri"/>
                <w:sz w:val="22"/>
              </w:rPr>
              <w:t>15.28%</w:t>
            </w:r>
          </w:p>
        </w:tc>
        <w:tc>
          <w:tcPr>
            <w:tcW w:type="dxa" w:w="1234"/>
          </w:tcPr>
          <w:p>
            <w:r>
              <w:rPr>
                <w:rFonts w:ascii="Calibri" w:hAnsi="Calibri"/>
                <w:sz w:val="22"/>
              </w:rPr>
              <w:t>14.52%</w:t>
            </w:r>
          </w:p>
        </w:tc>
        <w:tc>
          <w:tcPr>
            <w:tcW w:type="dxa" w:w="1234"/>
          </w:tcPr>
          <w:p>
            <w:r>
              <w:rPr>
                <w:rFonts w:ascii="Calibri" w:hAnsi="Calibri"/>
                <w:sz w:val="22"/>
              </w:rPr>
              <w:t>-76 bps YoY</w:t>
            </w:r>
          </w:p>
        </w:tc>
        <w:tc>
          <w:tcPr>
            <w:tcW w:type="dxa" w:w="1234"/>
          </w:tcPr>
          <w:p>
            <w:r>
              <w:rPr>
                <w:rFonts w:ascii="Calibri" w:hAnsi="Calibri"/>
                <w:sz w:val="22"/>
              </w:rPr>
              <w:t>Not provided</w:t>
            </w:r>
          </w:p>
        </w:tc>
        <w:tc>
          <w:tcPr>
            <w:tcW w:type="dxa" w:w="1234"/>
          </w:tcPr>
          <w:p>
            <w:r>
              <w:rPr>
                <w:rFonts w:ascii="Calibri" w:hAnsi="Calibri"/>
                <w:sz w:val="22"/>
              </w:rPr>
              <w:t>N/A</w:t>
            </w:r>
          </w:p>
        </w:tc>
      </w:tr>
      <w:tr>
        <w:tc>
          <w:tcPr>
            <w:tcW w:type="dxa" w:w="1234"/>
          </w:tcPr>
          <w:p>
            <w:r>
              <w:rPr>
                <w:rFonts w:ascii="Calibri" w:hAnsi="Calibri"/>
                <w:sz w:val="22"/>
              </w:rPr>
              <w:t>Adj. EPS — Diluted ($)</w:t>
            </w:r>
          </w:p>
        </w:tc>
        <w:tc>
          <w:tcPr>
            <w:tcW w:type="dxa" w:w="1234"/>
          </w:tcPr>
          <w:p>
            <w:r>
              <w:rPr>
                <w:rFonts w:ascii="Calibri" w:hAnsi="Calibri"/>
                <w:sz w:val="22"/>
              </w:rPr>
              <w:t>$0.334</w:t>
            </w:r>
          </w:p>
        </w:tc>
        <w:tc>
          <w:tcPr>
            <w:tcW w:type="dxa" w:w="1234"/>
          </w:tcPr>
          <w:p>
            <w:r>
              <w:rPr>
                <w:rFonts w:ascii="Calibri" w:hAnsi="Calibri"/>
                <w:sz w:val="22"/>
              </w:rPr>
              <w:t>$0.476</w:t>
            </w:r>
          </w:p>
        </w:tc>
        <w:tc>
          <w:tcPr>
            <w:tcW w:type="dxa" w:w="1234"/>
          </w:tcPr>
          <w:p>
            <w:r>
              <w:rPr>
                <w:rFonts w:ascii="Calibri" w:hAnsi="Calibri"/>
                <w:sz w:val="22"/>
              </w:rPr>
              <w:t>$0.431</w:t>
            </w:r>
          </w:p>
        </w:tc>
        <w:tc>
          <w:tcPr>
            <w:tcW w:type="dxa" w:w="1234"/>
          </w:tcPr>
          <w:p>
            <w:r>
              <w:rPr>
                <w:rFonts w:ascii="Calibri" w:hAnsi="Calibri"/>
                <w:sz w:val="22"/>
              </w:rPr>
              <w:t>-9.5% YoY</w:t>
            </w:r>
          </w:p>
        </w:tc>
        <w:tc>
          <w:tcPr>
            <w:tcW w:type="dxa" w:w="1234"/>
          </w:tcPr>
          <w:p>
            <w:r>
              <w:rPr>
                <w:rFonts w:ascii="Calibri" w:hAnsi="Calibri"/>
                <w:sz w:val="22"/>
              </w:rPr>
              <w:t>Not provided</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-$421.5M</w:t>
            </w:r>
          </w:p>
        </w:tc>
        <w:tc>
          <w:tcPr>
            <w:tcW w:type="dxa" w:w="1234"/>
          </w:tcPr>
          <w:p>
            <w:r>
              <w:rPr>
                <w:rFonts w:ascii="Calibri" w:hAnsi="Calibri"/>
                <w:sz w:val="22"/>
              </w:rPr>
              <w:t>$387.0M</w:t>
            </w:r>
          </w:p>
        </w:tc>
        <w:tc>
          <w:tcPr>
            <w:tcW w:type="dxa" w:w="1234"/>
          </w:tcPr>
          <w:p>
            <w:r>
              <w:rPr>
                <w:rFonts w:ascii="Calibri" w:hAnsi="Calibri"/>
                <w:sz w:val="22"/>
              </w:rPr>
              <w:t>$184.9M</w:t>
            </w:r>
          </w:p>
        </w:tc>
        <w:tc>
          <w:tcPr>
            <w:tcW w:type="dxa" w:w="1234"/>
          </w:tcPr>
          <w:p>
            <w:r>
              <w:rPr>
                <w:rFonts w:ascii="Calibri" w:hAnsi="Calibri"/>
                <w:sz w:val="22"/>
              </w:rPr>
              <w:t>N/M (vs. $387M)</w:t>
            </w:r>
          </w:p>
        </w:tc>
        <w:tc>
          <w:tcPr>
            <w:tcW w:type="dxa" w:w="1234"/>
          </w:tcPr>
          <w:p>
            <w:r>
              <w:rPr>
                <w:rFonts w:ascii="Calibri" w:hAnsi="Calibri"/>
                <w:sz w:val="22"/>
              </w:rPr>
              <w:t>Not provided</w:t>
            </w:r>
          </w:p>
        </w:tc>
        <w:tc>
          <w:tcPr>
            <w:tcW w:type="dxa" w:w="1234"/>
          </w:tcPr>
          <w:p>
            <w:r>
              <w:rPr>
                <w:rFonts w:ascii="Calibri" w:hAnsi="Calibri"/>
                <w:sz w:val="22"/>
              </w:rPr>
              <w:t>N/A</w:t>
            </w:r>
          </w:p>
        </w:tc>
      </w:tr>
      <w:tr>
        <w:tc>
          <w:tcPr>
            <w:tcW w:type="dxa" w:w="1234"/>
          </w:tcPr>
          <w:p>
            <w:r>
              <w:rPr>
                <w:rFonts w:ascii="Calibri" w:hAnsi="Calibri"/>
                <w:sz w:val="22"/>
              </w:rPr>
              <w:t>CapEx ($M)</w:t>
            </w:r>
          </w:p>
        </w:tc>
        <w:tc>
          <w:tcPr>
            <w:tcW w:type="dxa" w:w="1234"/>
          </w:tcPr>
          <w:p>
            <w:r>
              <w:rPr>
                <w:rFonts w:ascii="Calibri" w:hAnsi="Calibri"/>
                <w:sz w:val="22"/>
              </w:rPr>
              <w:t>$624M</w:t>
            </w:r>
          </w:p>
        </w:tc>
        <w:tc>
          <w:tcPr>
            <w:tcW w:type="dxa" w:w="1234"/>
          </w:tcPr>
          <w:p>
            <w:r>
              <w:rPr>
                <w:rFonts w:ascii="Calibri" w:hAnsi="Calibri"/>
                <w:sz w:val="22"/>
              </w:rPr>
              <w:t>$522M</w:t>
            </w:r>
          </w:p>
        </w:tc>
        <w:tc>
          <w:tcPr>
            <w:tcW w:type="dxa" w:w="1234"/>
          </w:tcPr>
          <w:p>
            <w:r>
              <w:rPr>
                <w:rFonts w:ascii="Calibri" w:hAnsi="Calibri"/>
                <w:sz w:val="22"/>
              </w:rPr>
              <w:t>$619M</w:t>
            </w:r>
          </w:p>
        </w:tc>
        <w:tc>
          <w:tcPr>
            <w:tcW w:type="dxa" w:w="1234"/>
          </w:tcPr>
          <w:p>
            <w:r>
              <w:rPr>
                <w:rFonts w:ascii="Calibri" w:hAnsi="Calibri"/>
                <w:sz w:val="22"/>
              </w:rPr>
              <w:t>+18.6% YoY</w:t>
            </w:r>
          </w:p>
        </w:tc>
        <w:tc>
          <w:tcPr>
            <w:tcW w:type="dxa" w:w="1234"/>
          </w:tcPr>
          <w:p>
            <w:r>
              <w:rPr>
                <w:rFonts w:ascii="Calibri" w:hAnsi="Calibri"/>
                <w:sz w:val="22"/>
              </w:rPr>
              <w:t>~$2.46B FY (implied ~$615M/qtr)</w:t>
            </w:r>
          </w:p>
        </w:tc>
        <w:tc>
          <w:tcPr>
            <w:tcW w:type="dxa" w:w="1234"/>
          </w:tcPr>
          <w:p>
            <w:r>
              <w:rPr>
                <w:rFonts w:ascii="Calibri" w:hAnsi="Calibri"/>
                <w:sz w:val="22"/>
              </w:rPr>
              <w:t>+0.6% vs. implied run-rate</w:t>
            </w:r>
          </w:p>
        </w:tc>
      </w:tr>
    </w:tbl>
    <w:p>
      <w:r>
        <w:rPr>
          <w:rFonts w:ascii="Calibri" w:hAnsi="Calibri"/>
          <w:i/>
          <w:color w:val="525866"/>
          <w:sz w:val="22"/>
        </w:rPr>
        <w:t>Source: Visible Alpha Consensus and Actuals Data. All consensus figures as of July 28, 2026. Q2 2026 guidance from Q1 2026 earnings call (April 30, 2026). Q1 2026 actuals and Q2 2025 actuals from Visible Alpha.</w:t>
      </w:r>
    </w:p>
    <w:p>
      <w:pPr>
        <w:pStyle w:val="Heading3"/>
      </w:pPr>
      <w:r>
        <w:rPr>
          <w:rFonts w:ascii="Calibri" w:hAnsi="Calibri"/>
          <w:b/>
          <w:color w:val="3B4259"/>
          <w:sz w:val="24"/>
        </w:rPr>
        <w:t>Table 2 — Beat/Miss History (Last 8 Quarters) — Top 2 KPIs: Adj. EBITDA &amp; Adj.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$1.076B</w:t>
            </w:r>
          </w:p>
        </w:tc>
        <w:tc>
          <w:tcPr>
            <w:tcW w:type="dxa" w:w="1440"/>
          </w:tcPr>
          <w:p>
            <w:r>
              <w:rPr>
                <w:rFonts w:ascii="Calibri" w:hAnsi="Calibri"/>
                <w:sz w:val="22"/>
              </w:rPr>
              <w:t>$1.144B</w:t>
            </w:r>
          </w:p>
        </w:tc>
        <w:tc>
          <w:tcPr>
            <w:tcW w:type="dxa" w:w="1440"/>
          </w:tcPr>
          <w:p>
            <w:r>
              <w:rPr>
                <w:rFonts w:ascii="Calibri" w:hAnsi="Calibri"/>
                <w:b/>
                <w:color w:val="E5484D"/>
                <w:sz w:val="22"/>
              </w:rPr>
              <w:t>-5.9%</w:t>
            </w:r>
          </w:p>
        </w:tc>
        <w:tc>
          <w:tcPr>
            <w:tcW w:type="dxa" w:w="1440"/>
          </w:tcPr>
          <w:p>
            <w:r>
              <w:rPr>
                <w:rFonts w:ascii="Calibri" w:hAnsi="Calibri"/>
                <w:sz w:val="22"/>
              </w:rPr>
              <w:t>Miss</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$0.334</w:t>
            </w:r>
          </w:p>
        </w:tc>
        <w:tc>
          <w:tcPr>
            <w:tcW w:type="dxa" w:w="1440"/>
          </w:tcPr>
          <w:p>
            <w:r>
              <w:rPr>
                <w:rFonts w:ascii="Calibri" w:hAnsi="Calibri"/>
                <w:sz w:val="22"/>
              </w:rPr>
              <w:t>$0.400</w:t>
            </w:r>
          </w:p>
        </w:tc>
        <w:tc>
          <w:tcPr>
            <w:tcW w:type="dxa" w:w="1440"/>
          </w:tcPr>
          <w:p>
            <w:r>
              <w:rPr>
                <w:rFonts w:ascii="Calibri" w:hAnsi="Calibri"/>
                <w:b/>
                <w:color w:val="E5484D"/>
                <w:sz w:val="22"/>
              </w:rPr>
              <w:t>-16.5%</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$1.172B</w:t>
            </w:r>
          </w:p>
        </w:tc>
        <w:tc>
          <w:tcPr>
            <w:tcW w:type="dxa" w:w="1440"/>
          </w:tcPr>
          <w:p>
            <w:r>
              <w:rPr>
                <w:rFonts w:ascii="Calibri" w:hAnsi="Calibri"/>
                <w:sz w:val="22"/>
              </w:rPr>
              <w:t>$1.222B</w:t>
            </w:r>
          </w:p>
        </w:tc>
        <w:tc>
          <w:tcPr>
            <w:tcW w:type="dxa" w:w="1440"/>
          </w:tcPr>
          <w:p>
            <w:r>
              <w:rPr>
                <w:rFonts w:ascii="Calibri" w:hAnsi="Calibri"/>
                <w:b/>
                <w:color w:val="E5484D"/>
                <w:sz w:val="22"/>
              </w:rPr>
              <w:t>-4.1%</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$0.336</w:t>
            </w:r>
          </w:p>
        </w:tc>
        <w:tc>
          <w:tcPr>
            <w:tcW w:type="dxa" w:w="1440"/>
          </w:tcPr>
          <w:p>
            <w:r>
              <w:rPr>
                <w:rFonts w:ascii="Calibri" w:hAnsi="Calibri"/>
                <w:sz w:val="22"/>
              </w:rPr>
              <w:t>$0.582</w:t>
            </w:r>
          </w:p>
        </w:tc>
        <w:tc>
          <w:tcPr>
            <w:tcW w:type="dxa" w:w="1440"/>
          </w:tcPr>
          <w:p>
            <w:r>
              <w:rPr>
                <w:rFonts w:ascii="Calibri" w:hAnsi="Calibri"/>
                <w:b/>
                <w:color w:val="E5484D"/>
                <w:sz w:val="22"/>
              </w:rPr>
              <w:t>-42.3%</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$1.302B</w:t>
            </w:r>
          </w:p>
        </w:tc>
        <w:tc>
          <w:tcPr>
            <w:tcW w:type="dxa" w:w="1440"/>
          </w:tcPr>
          <w:p>
            <w:r>
              <w:rPr>
                <w:rFonts w:ascii="Calibri" w:hAnsi="Calibri"/>
                <w:sz w:val="22"/>
              </w:rPr>
              <w:t>$1.310B</w:t>
            </w:r>
          </w:p>
        </w:tc>
        <w:tc>
          <w:tcPr>
            <w:tcW w:type="dxa" w:w="1440"/>
          </w:tcPr>
          <w:p>
            <w:r>
              <w:rPr>
                <w:rFonts w:ascii="Calibri" w:hAnsi="Calibri"/>
                <w:sz w:val="22"/>
              </w:rPr>
              <w:t>-0.6%</w:t>
            </w:r>
          </w:p>
        </w:tc>
        <w:tc>
          <w:tcPr>
            <w:tcW w:type="dxa" w:w="1440"/>
          </w:tcPr>
          <w:p>
            <w:r>
              <w:rPr>
                <w:rFonts w:ascii="Calibri" w:hAnsi="Calibri"/>
                <w:sz w:val="22"/>
              </w:rPr>
              <w:t>In-line</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$0.581</w:t>
            </w:r>
          </w:p>
        </w:tc>
        <w:tc>
          <w:tcPr>
            <w:tcW w:type="dxa" w:w="1440"/>
          </w:tcPr>
          <w:p>
            <w:r>
              <w:rPr>
                <w:rFonts w:ascii="Calibri" w:hAnsi="Calibri"/>
                <w:sz w:val="22"/>
              </w:rPr>
              <w:t>$0.710</w:t>
            </w:r>
          </w:p>
        </w:tc>
        <w:tc>
          <w:tcPr>
            <w:tcW w:type="dxa" w:w="1440"/>
          </w:tcPr>
          <w:p>
            <w:r>
              <w:rPr>
                <w:rFonts w:ascii="Calibri" w:hAnsi="Calibri"/>
                <w:b/>
                <w:color w:val="E5484D"/>
                <w:sz w:val="22"/>
              </w:rPr>
              <w:t>-18.2%</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$1.213B</w:t>
            </w:r>
          </w:p>
        </w:tc>
        <w:tc>
          <w:tcPr>
            <w:tcW w:type="dxa" w:w="1440"/>
          </w:tcPr>
          <w:p>
            <w:r>
              <w:rPr>
                <w:rFonts w:ascii="Calibri" w:hAnsi="Calibri"/>
                <w:sz w:val="22"/>
              </w:rPr>
              <w:t>$1.214B</w:t>
            </w:r>
          </w:p>
        </w:tc>
        <w:tc>
          <w:tcPr>
            <w:tcW w:type="dxa" w:w="1440"/>
          </w:tcPr>
          <w:p>
            <w:r>
              <w:rPr>
                <w:rFonts w:ascii="Calibri" w:hAnsi="Calibri"/>
                <w:sz w:val="22"/>
              </w:rPr>
              <w:t>-0.1%</w:t>
            </w:r>
          </w:p>
        </w:tc>
        <w:tc>
          <w:tcPr>
            <w:tcW w:type="dxa" w:w="1440"/>
          </w:tcPr>
          <w:p>
            <w:r>
              <w:rPr>
                <w:rFonts w:ascii="Calibri" w:hAnsi="Calibri"/>
                <w:sz w:val="22"/>
              </w:rPr>
              <w:t>In-line</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$0.476</w:t>
            </w:r>
          </w:p>
        </w:tc>
        <w:tc>
          <w:tcPr>
            <w:tcW w:type="dxa" w:w="1440"/>
          </w:tcPr>
          <w:p>
            <w:r>
              <w:rPr>
                <w:rFonts w:ascii="Calibri" w:hAnsi="Calibri"/>
                <w:sz w:val="22"/>
              </w:rPr>
              <w:t>$0.703</w:t>
            </w:r>
          </w:p>
        </w:tc>
        <w:tc>
          <w:tcPr>
            <w:tcW w:type="dxa" w:w="1440"/>
          </w:tcPr>
          <w:p>
            <w:r>
              <w:rPr>
                <w:rFonts w:ascii="Calibri" w:hAnsi="Calibri"/>
                <w:b/>
                <w:color w:val="E5484D"/>
                <w:sz w:val="22"/>
              </w:rPr>
              <w:t>-32.3%</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$1.252B</w:t>
            </w:r>
          </w:p>
        </w:tc>
        <w:tc>
          <w:tcPr>
            <w:tcW w:type="dxa" w:w="1440"/>
          </w:tcPr>
          <w:p>
            <w:r>
              <w:rPr>
                <w:rFonts w:ascii="Calibri" w:hAnsi="Calibri"/>
                <w:sz w:val="22"/>
              </w:rPr>
              <w:t>$1.243B</w:t>
            </w:r>
          </w:p>
        </w:tc>
        <w:tc>
          <w:tcPr>
            <w:tcW w:type="dxa" w:w="1440"/>
          </w:tcPr>
          <w:p>
            <w:r>
              <w:rPr>
                <w:rFonts w:ascii="Calibri" w:hAnsi="Calibri"/>
                <w:b/>
                <w:color w:val="30A46C"/>
                <w:sz w:val="22"/>
              </w:rPr>
              <w:t>+0.7%</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$0.774</w:t>
            </w:r>
          </w:p>
        </w:tc>
        <w:tc>
          <w:tcPr>
            <w:tcW w:type="dxa" w:w="1440"/>
          </w:tcPr>
          <w:p>
            <w:r>
              <w:rPr>
                <w:rFonts w:ascii="Calibri" w:hAnsi="Calibri"/>
                <w:sz w:val="22"/>
              </w:rPr>
              <w:t>$0.692</w:t>
            </w:r>
          </w:p>
        </w:tc>
        <w:tc>
          <w:tcPr>
            <w:tcW w:type="dxa" w:w="1440"/>
          </w:tcPr>
          <w:p>
            <w:r>
              <w:rPr>
                <w:rFonts w:ascii="Calibri" w:hAnsi="Calibri"/>
                <w:b/>
                <w:color w:val="30A46C"/>
                <w:sz w:val="22"/>
              </w:rPr>
              <w:t>+11.9%</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$1.166B</w:t>
            </w:r>
          </w:p>
        </w:tc>
        <w:tc>
          <w:tcPr>
            <w:tcW w:type="dxa" w:w="1440"/>
          </w:tcPr>
          <w:p>
            <w:r>
              <w:rPr>
                <w:rFonts w:ascii="Calibri" w:hAnsi="Calibri"/>
                <w:sz w:val="22"/>
              </w:rPr>
              <w:t>$1.212B</w:t>
            </w:r>
          </w:p>
        </w:tc>
        <w:tc>
          <w:tcPr>
            <w:tcW w:type="dxa" w:w="1440"/>
          </w:tcPr>
          <w:p>
            <w:r>
              <w:rPr>
                <w:rFonts w:ascii="Calibri" w:hAnsi="Calibri"/>
                <w:b/>
                <w:color w:val="E5484D"/>
                <w:sz w:val="22"/>
              </w:rPr>
              <w:t>-3.8%</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$0.426</w:t>
            </w:r>
          </w:p>
        </w:tc>
        <w:tc>
          <w:tcPr>
            <w:tcW w:type="dxa" w:w="1440"/>
          </w:tcPr>
          <w:p>
            <w:r>
              <w:rPr>
                <w:rFonts w:ascii="Calibri" w:hAnsi="Calibri"/>
                <w:sz w:val="22"/>
              </w:rPr>
              <w:t>$0.530</w:t>
            </w:r>
          </w:p>
        </w:tc>
        <w:tc>
          <w:tcPr>
            <w:tcW w:type="dxa" w:w="1440"/>
          </w:tcPr>
          <w:p>
            <w:r>
              <w:rPr>
                <w:rFonts w:ascii="Calibri" w:hAnsi="Calibri"/>
                <w:b/>
                <w:color w:val="E5484D"/>
                <w:sz w:val="22"/>
              </w:rPr>
              <w:t>-19.6%</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$1.265B</w:t>
            </w:r>
          </w:p>
        </w:tc>
        <w:tc>
          <w:tcPr>
            <w:tcW w:type="dxa" w:w="1440"/>
          </w:tcPr>
          <w:p>
            <w:r>
              <w:rPr>
                <w:rFonts w:ascii="Calibri" w:hAnsi="Calibri"/>
                <w:sz w:val="22"/>
              </w:rPr>
              <w:t>$1.230B</w:t>
            </w:r>
          </w:p>
        </w:tc>
        <w:tc>
          <w:tcPr>
            <w:tcW w:type="dxa" w:w="1440"/>
          </w:tcPr>
          <w:p>
            <w:r>
              <w:rPr>
                <w:rFonts w:ascii="Calibri" w:hAnsi="Calibri"/>
                <w:b/>
                <w:color w:val="30A46C"/>
                <w:sz w:val="22"/>
              </w:rPr>
              <w:t>+2.8%</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$0.505</w:t>
            </w:r>
          </w:p>
        </w:tc>
        <w:tc>
          <w:tcPr>
            <w:tcW w:type="dxa" w:w="1440"/>
          </w:tcPr>
          <w:p>
            <w:r>
              <w:rPr>
                <w:rFonts w:ascii="Calibri" w:hAnsi="Calibri"/>
                <w:sz w:val="22"/>
              </w:rPr>
              <w:t>$0.724</w:t>
            </w:r>
          </w:p>
        </w:tc>
        <w:tc>
          <w:tcPr>
            <w:tcW w:type="dxa" w:w="1440"/>
          </w:tcPr>
          <w:p>
            <w:r>
              <w:rPr>
                <w:rFonts w:ascii="Calibri" w:hAnsi="Calibri"/>
                <w:b/>
                <w:color w:val="E5484D"/>
                <w:sz w:val="22"/>
              </w:rPr>
              <w:t>-30.2%</w:t>
            </w:r>
          </w:p>
        </w:tc>
        <w:tc>
          <w:tcPr>
            <w:tcW w:type="dxa" w:w="1440"/>
          </w:tcPr>
          <w:p>
            <w:r>
              <w:rPr>
                <w:rFonts w:ascii="Calibri" w:hAnsi="Calibri"/>
                <w:sz w:val="22"/>
              </w:rPr>
              <w:t>Miss</w:t>
            </w:r>
          </w:p>
        </w:tc>
      </w:tr>
    </w:tbl>
    <w:p>
      <w:r>
        <w:rPr>
          <w:rFonts w:ascii="Calibri" w:hAnsi="Calibri"/>
          <w:b/>
          <w:color w:val="525866"/>
          <w:sz w:val="22"/>
        </w:rPr>
        <w:t xml:space="preserve">Pattern: </w:t>
      </w:r>
      <w:r>
        <w:rPr>
          <w:rFonts w:ascii="Calibri" w:hAnsi="Calibri"/>
          <w:color w:val="525866"/>
          <w:sz w:val="22"/>
        </w:rPr>
        <w:t>SW has consistently delivered EBITDA near or slightly below consensus (5 misses, 2 beats, 1 in-line over 8 quarters), while Adj. EPS has missed consensus in 6 of the last 8 quarters — largely reflecting the gap between reported and operating EPS during the integration period. EBITDA beats/misses have been narrow (within ~6%), suggesting consensus is generally well-calibrated on the EBITDA line; the Q2 2026 setup is similar.</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EBITDA guidance was reaffirmed at $5.0–$5.3B on April 30, but the composition shifted materially — energy headwinds tripled to $270–290M while labor eased to ~$50M — meaning the guidance hold is more fragile than it appears; any further energy escalation in Q2/Q3 is the primary risk to the full-year range.</w:t>
      </w:r>
    </w:p>
    <w:p>
      <w:r>
        <w:rPr>
          <w:rFonts w:ascii="Calibri" w:hAnsi="Calibri"/>
          <w:i/>
          <w:color w:val="525866"/>
          <w:sz w:val="22"/>
        </w:rPr>
        <w:t>Baseline: Q1 2026 Earnings Call, April 30, 2026. No post-earnings guidance revisions have been disclosed via 8-K, conference, or investor day as of July 28,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 EBITDA</w:t>
            </w:r>
          </w:p>
        </w:tc>
        <w:tc>
          <w:tcPr>
            <w:tcW w:type="dxa" w:w="1728"/>
          </w:tcPr>
          <w:p>
            <w:r>
              <w:rPr>
                <w:rFonts w:ascii="Calibri" w:hAnsi="Calibri"/>
                <w:sz w:val="22"/>
              </w:rPr>
              <w:t>$1.10–$1.20B</w:t>
            </w:r>
          </w:p>
        </w:tc>
        <w:tc>
          <w:tcPr>
            <w:tcW w:type="dxa" w:w="1728"/>
          </w:tcPr>
          <w:p>
            <w:r>
              <w:rPr>
                <w:rFonts w:ascii="Calibri" w:hAnsi="Calibri"/>
                <w:sz w:val="22"/>
              </w:rPr>
              <w:t>—</w:t>
            </w:r>
          </w:p>
        </w:tc>
        <w:tc>
          <w:tcPr>
            <w:tcW w:type="dxa" w:w="1728"/>
          </w:tcPr>
          <w:p>
            <w:r>
              <w:rPr>
                <w:rFonts w:ascii="Calibri" w:hAnsi="Calibri"/>
                <w:sz w:val="22"/>
              </w:rPr>
              <w:t>$1.152B</w:t>
            </w:r>
          </w:p>
        </w:tc>
        <w:tc>
          <w:tcPr>
            <w:tcW w:type="dxa" w:w="1728"/>
          </w:tcPr>
          <w:p>
            <w:r>
              <w:rPr>
                <w:rFonts w:ascii="Calibri" w:hAnsi="Calibri"/>
                <w:sz w:val="22"/>
              </w:rPr>
              <w:t>Consensus at midpoint; no post-earnings revision</w:t>
            </w:r>
          </w:p>
        </w:tc>
      </w:tr>
      <w:tr>
        <w:tc>
          <w:tcPr>
            <w:tcW w:type="dxa" w:w="1728"/>
          </w:tcPr>
          <w:p>
            <w:r>
              <w:rPr>
                <w:rFonts w:ascii="Calibri" w:hAnsi="Calibri"/>
                <w:sz w:val="22"/>
              </w:rPr>
              <w:t>FY 2026 Adj. EBITDA</w:t>
            </w:r>
          </w:p>
        </w:tc>
        <w:tc>
          <w:tcPr>
            <w:tcW w:type="dxa" w:w="1728"/>
          </w:tcPr>
          <w:p>
            <w:r>
              <w:rPr>
                <w:rFonts w:ascii="Calibri" w:hAnsi="Calibri"/>
                <w:sz w:val="22"/>
              </w:rPr>
              <w:t>$5.0–$5.3B (reaffirmed from Feb 2026)</w:t>
            </w:r>
          </w:p>
        </w:tc>
        <w:tc>
          <w:tcPr>
            <w:tcW w:type="dxa" w:w="1728"/>
          </w:tcPr>
          <w:p>
            <w:r>
              <w:rPr>
                <w:rFonts w:ascii="Calibri" w:hAnsi="Calibri"/>
                <w:sz w:val="22"/>
              </w:rPr>
              <w:t>—</w:t>
            </w:r>
          </w:p>
        </w:tc>
        <w:tc>
          <w:tcPr>
            <w:tcW w:type="dxa" w:w="1728"/>
          </w:tcPr>
          <w:p>
            <w:r>
              <w:rPr>
                <w:rFonts w:ascii="Calibri" w:hAnsi="Calibri"/>
                <w:sz w:val="22"/>
              </w:rPr>
              <w:t>$5.064B</w:t>
            </w:r>
          </w:p>
        </w:tc>
        <w:tc>
          <w:tcPr>
            <w:tcW w:type="dxa" w:w="1728"/>
          </w:tcPr>
          <w:p>
            <w:r>
              <w:rPr>
                <w:rFonts w:ascii="Calibri" w:hAnsi="Calibri"/>
                <w:sz w:val="22"/>
              </w:rPr>
              <w:t>Consensus below midpoint ($5.15B); reflects energy risk</w:t>
            </w:r>
          </w:p>
        </w:tc>
      </w:tr>
      <w:tr>
        <w:tc>
          <w:tcPr>
            <w:tcW w:type="dxa" w:w="1728"/>
          </w:tcPr>
          <w:p>
            <w:r>
              <w:rPr>
                <w:rFonts w:ascii="Calibri" w:hAnsi="Calibri"/>
                <w:sz w:val="22"/>
              </w:rPr>
              <w:t>FY 2026 Energy Headwind</w:t>
            </w:r>
          </w:p>
        </w:tc>
        <w:tc>
          <w:tcPr>
            <w:tcW w:type="dxa" w:w="1728"/>
          </w:tcPr>
          <w:p>
            <w:r>
              <w:rPr>
                <w:rFonts w:ascii="Calibri" w:hAnsi="Calibri"/>
                <w:sz w:val="22"/>
              </w:rPr>
              <w:t>$270–$290M (revised up from $80M at Feb 2026 guidance)</w:t>
            </w:r>
          </w:p>
        </w:tc>
        <w:tc>
          <w:tcPr>
            <w:tcW w:type="dxa" w:w="1728"/>
          </w:tcPr>
          <w:p>
            <w:r>
              <w:rPr>
                <w:rFonts w:ascii="Calibri" w:hAnsi="Calibri"/>
                <w:sz w:val="22"/>
              </w:rPr>
              <w:t>—</w:t>
            </w:r>
          </w:p>
        </w:tc>
        <w:tc>
          <w:tcPr>
            <w:tcW w:type="dxa" w:w="1728"/>
          </w:tcPr>
          <w:p>
            <w:r>
              <w:rPr>
                <w:rFonts w:ascii="Calibri" w:hAnsi="Calibri"/>
                <w:sz w:val="22"/>
              </w:rPr>
              <w:t>N/A (not tracked separately)</w:t>
            </w:r>
          </w:p>
        </w:tc>
        <w:tc>
          <w:tcPr>
            <w:tcW w:type="dxa" w:w="1728"/>
          </w:tcPr>
          <w:p>
            <w:r>
              <w:rPr>
                <w:rFonts w:ascii="Calibri" w:hAnsi="Calibri"/>
                <w:sz w:val="22"/>
              </w:rPr>
              <w:t>↑ Tripled vs. Feb guidance; largest cost swing factor for FY</w:t>
            </w:r>
          </w:p>
        </w:tc>
      </w:tr>
      <w:tr>
        <w:tc>
          <w:tcPr>
            <w:tcW w:type="dxa" w:w="1728"/>
          </w:tcPr>
          <w:p>
            <w:r>
              <w:rPr>
                <w:rFonts w:ascii="Calibri" w:hAnsi="Calibri"/>
                <w:sz w:val="22"/>
              </w:rPr>
              <w:t>FY 2026 Labor Headwind</w:t>
            </w:r>
          </w:p>
        </w:tc>
        <w:tc>
          <w:tcPr>
            <w:tcW w:type="dxa" w:w="1728"/>
          </w:tcPr>
          <w:p>
            <w:r>
              <w:rPr>
                <w:rFonts w:ascii="Calibri" w:hAnsi="Calibri"/>
                <w:sz w:val="22"/>
              </w:rPr>
              <w:t>~$50M (revised down from $100M at Feb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Eased; wage negotiations and rationalizations delivering</w:t>
            </w:r>
          </w:p>
        </w:tc>
      </w:tr>
      <w:tr>
        <w:tc>
          <w:tcPr>
            <w:tcW w:type="dxa" w:w="1728"/>
          </w:tcPr>
          <w:p>
            <w:r>
              <w:rPr>
                <w:rFonts w:ascii="Calibri" w:hAnsi="Calibri"/>
                <w:sz w:val="22"/>
              </w:rPr>
              <w:t>FY 2026 Freight Headwind</w:t>
            </w:r>
          </w:p>
        </w:tc>
        <w:tc>
          <w:tcPr>
            <w:tcW w:type="dxa" w:w="1728"/>
          </w:tcPr>
          <w:p>
            <w:r>
              <w:rPr>
                <w:rFonts w:ascii="Calibri" w:hAnsi="Calibri"/>
                <w:sz w:val="22"/>
              </w:rPr>
              <w:t>~$50M (new item; not in Feb guidance)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New headwind flagged at Q1 call; extrapolated from Q1 actuals</w:t>
            </w:r>
          </w:p>
        </w:tc>
      </w:tr>
      <w:tr>
        <w:tc>
          <w:tcPr>
            <w:tcW w:type="dxa" w:w="1728"/>
          </w:tcPr>
          <w:p>
            <w:r>
              <w:rPr>
                <w:rFonts w:ascii="Calibri" w:hAnsi="Calibri"/>
                <w:sz w:val="22"/>
              </w:rPr>
              <w:t>FY 2026 Fiber (OCC) Tailwind</w:t>
            </w:r>
          </w:p>
        </w:tc>
        <w:tc>
          <w:tcPr>
            <w:tcW w:type="dxa" w:w="1728"/>
          </w:tcPr>
          <w:p>
            <w:r>
              <w:rPr>
                <w:rFonts w:ascii="Calibri" w:hAnsi="Calibri"/>
                <w:sz w:val="22"/>
              </w:rPr>
              <w:t>~$50M tailwind (broadly flat vs. Feb guidance)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Stable; OCC slightly higher in Q2 (~$20M headwind QoQ)</w:t>
            </w:r>
          </w:p>
        </w:tc>
      </w:tr>
      <w:tr>
        <w:tc>
          <w:tcPr>
            <w:tcW w:type="dxa" w:w="1728"/>
          </w:tcPr>
          <w:p>
            <w:r>
              <w:rPr>
                <w:rFonts w:ascii="Calibri" w:hAnsi="Calibri"/>
                <w:sz w:val="22"/>
              </w:rPr>
              <w:t>NA Containerboard Price</w:t>
            </w:r>
          </w:p>
        </w:tc>
        <w:tc>
          <w:tcPr>
            <w:tcW w:type="dxa" w:w="1728"/>
          </w:tcPr>
          <w:p>
            <w:r>
              <w:rPr>
                <w:rFonts w:ascii="Calibri" w:hAnsi="Calibri"/>
                <w:sz w:val="22"/>
              </w:rPr>
              <w:t>+$50/ton (1st tranche) fully implemented by July 1; 2nd +$50/ton announced, target Sept implementation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Price realization is key Q2 upside driver; 2nd tranche still uncertain</w:t>
            </w:r>
          </w:p>
        </w:tc>
      </w:tr>
      <w:tr>
        <w:tc>
          <w:tcPr>
            <w:tcW w:type="dxa" w:w="1728"/>
          </w:tcPr>
          <w:p>
            <w:r>
              <w:rPr>
                <w:rFonts w:ascii="Calibri" w:hAnsi="Calibri"/>
                <w:sz w:val="22"/>
              </w:rPr>
              <w:t>FY 2026 CapEx</w:t>
            </w:r>
          </w:p>
        </w:tc>
        <w:tc>
          <w:tcPr>
            <w:tcW w:type="dxa" w:w="1728"/>
          </w:tcPr>
          <w:p>
            <w:r>
              <w:rPr>
                <w:rFonts w:ascii="Calibri" w:hAnsi="Calibri"/>
                <w:sz w:val="22"/>
              </w:rPr>
              <w:t>~$2.46B (implied from quarterly run-rate)</w:t>
            </w:r>
          </w:p>
        </w:tc>
        <w:tc>
          <w:tcPr>
            <w:tcW w:type="dxa" w:w="1728"/>
          </w:tcPr>
          <w:p>
            <w:r>
              <w:rPr>
                <w:rFonts w:ascii="Calibri" w:hAnsi="Calibri"/>
                <w:sz w:val="22"/>
              </w:rPr>
              <w:t>—</w:t>
            </w:r>
          </w:p>
        </w:tc>
        <w:tc>
          <w:tcPr>
            <w:tcW w:type="dxa" w:w="1728"/>
          </w:tcPr>
          <w:p>
            <w:r>
              <w:rPr>
                <w:rFonts w:ascii="Calibri" w:hAnsi="Calibri"/>
                <w:sz w:val="22"/>
              </w:rPr>
              <w:t>$2.458B</w:t>
            </w:r>
          </w:p>
        </w:tc>
        <w:tc>
          <w:tcPr>
            <w:tcW w:type="dxa" w:w="1728"/>
          </w:tcPr>
          <w:p>
            <w:r>
              <w:rPr>
                <w:rFonts w:ascii="Calibri" w:hAnsi="Calibri"/>
                <w:sz w:val="22"/>
              </w:rPr>
              <w:t>Consensus in-line with guidance; focused on cost takeout</w:t>
            </w:r>
          </w:p>
        </w:tc>
      </w:tr>
      <w:tr>
        <w:tc>
          <w:tcPr>
            <w:tcW w:type="dxa" w:w="1728"/>
          </w:tcPr>
          <w:p>
            <w:r>
              <w:rPr>
                <w:rFonts w:ascii="Calibri" w:hAnsi="Calibri"/>
                <w:sz w:val="22"/>
              </w:rPr>
              <w:t>Q2 Downtime</w:t>
            </w:r>
          </w:p>
        </w:tc>
        <w:tc>
          <w:tcPr>
            <w:tcW w:type="dxa" w:w="1728"/>
          </w:tcPr>
          <w:p>
            <w:r>
              <w:rPr>
                <w:rFonts w:ascii="Calibri" w:hAnsi="Calibri"/>
                <w:sz w:val="22"/>
              </w:rPr>
              <w:t>No material downtime expected; ~$40M YoY benefit vs. Q2 2025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Key bridge item; Q1 had $74M downtime (half unplanned)</w:t>
            </w:r>
          </w:p>
        </w:tc>
      </w:tr>
    </w:tbl>
    <w:p>
      <w:r>
        <w:rPr>
          <w:rFonts w:ascii="Calibri" w:hAnsi="Calibri"/>
          <w:i/>
          <w:color w:val="525866"/>
          <w:sz w:val="22"/>
        </w:rPr>
        <w:t>Source: SW Q1 2026 Earnings Release and Earnings Call Transcript (April 30,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Q2 EBITDA estimates have drifted modestly higher since the post-Q1 baseline (+1.2%), while full-year estimates are essentially flat (+0.5%), suggesting the Street has largely accepted management’s guidance range without building in meaningful upside — a setup where any beat on EBITDA or a guidance raise could drive positive revisions.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8,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 30)</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Adj. EBITDA — Q2 2026</w:t>
            </w:r>
          </w:p>
        </w:tc>
        <w:tc>
          <w:tcPr>
            <w:tcW w:type="dxa" w:w="1080"/>
          </w:tcPr>
          <w:p>
            <w:r>
              <w:rPr>
                <w:rFonts w:ascii="Calibri" w:hAnsi="Calibri"/>
                <w:sz w:val="22"/>
              </w:rPr>
              <w:t>$1.137B</w:t>
            </w:r>
          </w:p>
        </w:tc>
        <w:tc>
          <w:tcPr>
            <w:tcW w:type="dxa" w:w="1080"/>
          </w:tcPr>
          <w:p>
            <w:r>
              <w:rPr>
                <w:rFonts w:ascii="Calibri" w:hAnsi="Calibri"/>
                <w:sz w:val="22"/>
              </w:rPr>
              <w:t>$1.152B</w:t>
            </w:r>
          </w:p>
        </w:tc>
        <w:tc>
          <w:tcPr>
            <w:tcW w:type="dxa" w:w="1080"/>
          </w:tcPr>
          <w:p>
            <w:r>
              <w:rPr>
                <w:rFonts w:ascii="Calibri" w:hAnsi="Calibri"/>
                <w:b/>
                <w:color w:val="30A46C"/>
                <w:sz w:val="22"/>
              </w:rPr>
              <w:t>+1.2%</w:t>
            </w:r>
          </w:p>
        </w:tc>
        <w:tc>
          <w:tcPr>
            <w:tcW w:type="dxa" w:w="1080"/>
          </w:tcPr>
          <w:p>
            <w:r>
              <w:rPr>
                <w:rFonts w:ascii="Calibri" w:hAnsi="Calibri"/>
                <w:sz w:val="22"/>
              </w:rPr>
              <w:t>$1.10–$1.20B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vs. $1.15B mid</w:t>
            </w:r>
          </w:p>
        </w:tc>
      </w:tr>
      <w:tr>
        <w:tc>
          <w:tcPr>
            <w:tcW w:type="dxa" w:w="1080"/>
          </w:tcPr>
          <w:p>
            <w:r>
              <w:rPr>
                <w:rFonts w:ascii="Calibri" w:hAnsi="Calibri"/>
                <w:sz w:val="22"/>
              </w:rPr>
              <w:t>Adj. EBITDA — FY 2026</w:t>
            </w:r>
          </w:p>
        </w:tc>
        <w:tc>
          <w:tcPr>
            <w:tcW w:type="dxa" w:w="1080"/>
          </w:tcPr>
          <w:p>
            <w:r>
              <w:rPr>
                <w:rFonts w:ascii="Calibri" w:hAnsi="Calibri"/>
                <w:sz w:val="22"/>
              </w:rPr>
              <w:t>$5.040B</w:t>
            </w:r>
          </w:p>
        </w:tc>
        <w:tc>
          <w:tcPr>
            <w:tcW w:type="dxa" w:w="1080"/>
          </w:tcPr>
          <w:p>
            <w:r>
              <w:rPr>
                <w:rFonts w:ascii="Calibri" w:hAnsi="Calibri"/>
                <w:sz w:val="22"/>
              </w:rPr>
              <w:t>$5.064B</w:t>
            </w:r>
          </w:p>
        </w:tc>
        <w:tc>
          <w:tcPr>
            <w:tcW w:type="dxa" w:w="1080"/>
          </w:tcPr>
          <w:p>
            <w:r>
              <w:rPr>
                <w:rFonts w:ascii="Calibri" w:hAnsi="Calibri"/>
                <w:b/>
                <w:color w:val="30A46C"/>
                <w:sz w:val="22"/>
              </w:rPr>
              <w:t>+0.5%</w:t>
            </w:r>
          </w:p>
        </w:tc>
        <w:tc>
          <w:tcPr>
            <w:tcW w:type="dxa" w:w="1080"/>
          </w:tcPr>
          <w:p>
            <w:r>
              <w:rPr>
                <w:rFonts w:ascii="Calibri" w:hAnsi="Calibri"/>
                <w:sz w:val="22"/>
              </w:rPr>
              <w:t>$5.0–$5.3B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-1.7% vs. $5.15B mid</w:t>
            </w:r>
          </w:p>
        </w:tc>
      </w:tr>
      <w:tr>
        <w:tc>
          <w:tcPr>
            <w:tcW w:type="dxa" w:w="1080"/>
          </w:tcPr>
          <w:p>
            <w:r>
              <w:rPr>
                <w:rFonts w:ascii="Calibri" w:hAnsi="Calibri"/>
                <w:sz w:val="22"/>
              </w:rPr>
              <w:t>Adj. EPS (Diluted) — Q2 2026</w:t>
            </w:r>
          </w:p>
        </w:tc>
        <w:tc>
          <w:tcPr>
            <w:tcW w:type="dxa" w:w="1080"/>
          </w:tcPr>
          <w:p>
            <w:r>
              <w:rPr>
                <w:rFonts w:ascii="Calibri" w:hAnsi="Calibri"/>
                <w:sz w:val="22"/>
              </w:rPr>
              <w:t>$0.401</w:t>
            </w:r>
          </w:p>
        </w:tc>
        <w:tc>
          <w:tcPr>
            <w:tcW w:type="dxa" w:w="1080"/>
          </w:tcPr>
          <w:p>
            <w:r>
              <w:rPr>
                <w:rFonts w:ascii="Calibri" w:hAnsi="Calibri"/>
                <w:sz w:val="22"/>
              </w:rPr>
              <w:t>$0.431</w:t>
            </w:r>
          </w:p>
        </w:tc>
        <w:tc>
          <w:tcPr>
            <w:tcW w:type="dxa" w:w="1080"/>
          </w:tcPr>
          <w:p>
            <w:r>
              <w:rPr>
                <w:rFonts w:ascii="Calibri" w:hAnsi="Calibri"/>
                <w:b/>
                <w:color w:val="30A46C"/>
                <w:sz w:val="22"/>
              </w:rPr>
              <w:t>+7.5%</w:t>
            </w:r>
          </w:p>
        </w:tc>
        <w:tc>
          <w:tcPr>
            <w:tcW w:type="dxa" w:w="1080"/>
          </w:tcPr>
          <w:p>
            <w:r>
              <w:rPr>
                <w:rFonts w:ascii="Calibri" w:hAnsi="Calibri"/>
                <w:sz w:val="22"/>
              </w:rPr>
              <w:t>Not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(Diluted) — FY 2026</w:t>
            </w:r>
          </w:p>
        </w:tc>
        <w:tc>
          <w:tcPr>
            <w:tcW w:type="dxa" w:w="1080"/>
          </w:tcPr>
          <w:p>
            <w:r>
              <w:rPr>
                <w:rFonts w:ascii="Calibri" w:hAnsi="Calibri"/>
                <w:sz w:val="22"/>
              </w:rPr>
              <w:t>$2.373</w:t>
            </w:r>
          </w:p>
        </w:tc>
        <w:tc>
          <w:tcPr>
            <w:tcW w:type="dxa" w:w="1080"/>
          </w:tcPr>
          <w:p>
            <w:r>
              <w:rPr>
                <w:rFonts w:ascii="Calibri" w:hAnsi="Calibri"/>
                <w:sz w:val="22"/>
              </w:rPr>
              <w:t>$2.285</w:t>
            </w:r>
          </w:p>
        </w:tc>
        <w:tc>
          <w:tcPr>
            <w:tcW w:type="dxa" w:w="1080"/>
          </w:tcPr>
          <w:p>
            <w:r>
              <w:rPr>
                <w:rFonts w:ascii="Calibri" w:hAnsi="Calibri"/>
                <w:b/>
                <w:color w:val="E5484D"/>
                <w:sz w:val="22"/>
              </w:rPr>
              <w:t>-3.7%</w:t>
            </w:r>
          </w:p>
        </w:tc>
        <w:tc>
          <w:tcPr>
            <w:tcW w:type="dxa" w:w="1080"/>
          </w:tcPr>
          <w:p>
            <w:r>
              <w:rPr>
                <w:rFonts w:ascii="Calibri" w:hAnsi="Calibri"/>
                <w:sz w:val="22"/>
              </w:rPr>
              <w:t>Not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Q2 2026</w:t>
            </w:r>
          </w:p>
        </w:tc>
        <w:tc>
          <w:tcPr>
            <w:tcW w:type="dxa" w:w="1080"/>
          </w:tcPr>
          <w:p>
            <w:r>
              <w:rPr>
                <w:rFonts w:ascii="Calibri" w:hAnsi="Calibri"/>
                <w:sz w:val="22"/>
              </w:rPr>
              <w:t>$7.926B</w:t>
            </w:r>
          </w:p>
        </w:tc>
        <w:tc>
          <w:tcPr>
            <w:tcW w:type="dxa" w:w="1080"/>
          </w:tcPr>
          <w:p>
            <w:r>
              <w:rPr>
                <w:rFonts w:ascii="Calibri" w:hAnsi="Calibri"/>
                <w:sz w:val="22"/>
              </w:rPr>
              <w:t>$7.981B</w:t>
            </w:r>
          </w:p>
        </w:tc>
        <w:tc>
          <w:tcPr>
            <w:tcW w:type="dxa" w:w="1080"/>
          </w:tcPr>
          <w:p>
            <w:r>
              <w:rPr>
                <w:rFonts w:ascii="Calibri" w:hAnsi="Calibri"/>
                <w:b/>
                <w:color w:val="30A46C"/>
                <w:sz w:val="22"/>
              </w:rPr>
              <w:t>+0.7%</w:t>
            </w:r>
          </w:p>
        </w:tc>
        <w:tc>
          <w:tcPr>
            <w:tcW w:type="dxa" w:w="1080"/>
          </w:tcPr>
          <w:p>
            <w:r>
              <w:rPr>
                <w:rFonts w:ascii="Calibri" w:hAnsi="Calibri"/>
                <w:sz w:val="22"/>
              </w:rPr>
              <w:t>Not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$31.782B</w:t>
            </w:r>
          </w:p>
        </w:tc>
        <w:tc>
          <w:tcPr>
            <w:tcW w:type="dxa" w:w="1080"/>
          </w:tcPr>
          <w:p>
            <w:r>
              <w:rPr>
                <w:rFonts w:ascii="Calibri" w:hAnsi="Calibri"/>
                <w:sz w:val="22"/>
              </w:rPr>
              <w:t>$32.158B</w:t>
            </w:r>
          </w:p>
        </w:tc>
        <w:tc>
          <w:tcPr>
            <w:tcW w:type="dxa" w:w="1080"/>
          </w:tcPr>
          <w:p>
            <w:r>
              <w:rPr>
                <w:rFonts w:ascii="Calibri" w:hAnsi="Calibri"/>
                <w:b/>
                <w:color w:val="30A46C"/>
                <w:sz w:val="22"/>
              </w:rPr>
              <w:t>+1.2%</w:t>
            </w:r>
          </w:p>
        </w:tc>
        <w:tc>
          <w:tcPr>
            <w:tcW w:type="dxa" w:w="1080"/>
          </w:tcPr>
          <w:p>
            <w:r>
              <w:rPr>
                <w:rFonts w:ascii="Calibri" w:hAnsi="Calibri"/>
                <w:sz w:val="22"/>
              </w:rPr>
              <w:t>Not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b/>
          <w:color w:val="525866"/>
          <w:sz w:val="22"/>
        </w:rPr>
        <w:t xml:space="preserve">Commentary: </w:t>
      </w:r>
      <w:r>
        <w:rPr>
          <w:rFonts w:ascii="Calibri" w:hAnsi="Calibri"/>
          <w:color w:val="525866"/>
          <w:sz w:val="22"/>
        </w:rPr>
        <w:t>The revision trajectory since the Q1 print is mildly constructive — Q2 EBITDA estimates have edged up ~$15M and EPS estimates are up ~7.5% — but full-year EPS has drifted down 3.7%, likely reflecting the higher energy cost burden flowing through the back half. The FY EBITDA consensus of $5.064B sits ~1.7% below the guidance midpoint of $5.15B, implying the Street is not yet giving management full credit for the top of the range — a guidance raise or narrowing of the range to the upper half would be a meaningful positive catalyst.</w:t>
      </w:r>
    </w:p>
    <w:p>
      <w:r>
        <w:rPr>
          <w:rFonts w:ascii="Calibri" w:hAnsi="Calibri"/>
          <w:i/>
          <w:color w:val="525866"/>
          <w:sz w:val="22"/>
        </w:rPr>
        <w:t>Source: Visible Alpha Consensus and Actuals Data. Post-Q1 baseline as of May 8, 2026 (approximately 5 trading days after April 30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SW has rallied ~32% since the April 30 earnings date, dramatically outperforming XLB (+1.7%) and SPY (+3.1%) — driven almost entirely by multiple re-rating (EV/EBITDA expanded from ~6.4x to ~7.3x) as the market priced in the demand recovery narrative; earnings revisions have been minimal, meaning the stock’s move is sentiment/multiple-driven and therefore more vulnerable to a Q2 disappointment.</w:t>
      </w:r>
    </w:p>
    <w:p>
      <w:pPr>
        <w:pStyle w:val="Heading3"/>
      </w:pPr>
      <w:r>
        <w:rPr>
          <w:rFonts w:ascii="Calibri" w:hAnsi="Calibri"/>
          <w:b/>
          <w:color w:val="3B4259"/>
          <w:sz w:val="24"/>
        </w:rPr>
        <w:t>SW vs. XLB (Materials ETF) vs. S&amp;P 500 — Indexed Since April 30,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Series</w:t>
            </w:r>
          </w:p>
        </w:tc>
        <w:tc>
          <w:tcPr>
            <w:tcW w:type="dxa" w:w="2160"/>
            <w:shd w:val="clear" w:color="auto" w:fill="3B4259"/>
          </w:tcPr>
          <w:p>
            <w:r>
              <w:rPr>
                <w:rFonts w:ascii="Calibri" w:hAnsi="Calibri"/>
                <w:b/>
                <w:color w:val="FFFFFF"/>
                <w:sz w:val="22"/>
              </w:rPr>
              <w:t>Apr 30, 2026 (Base)</w:t>
            </w:r>
          </w:p>
        </w:tc>
        <w:tc>
          <w:tcPr>
            <w:tcW w:type="dxa" w:w="2160"/>
            <w:shd w:val="clear" w:color="auto" w:fill="3B4259"/>
          </w:tcPr>
          <w:p>
            <w:r>
              <w:rPr>
                <w:rFonts w:ascii="Calibri" w:hAnsi="Calibri"/>
                <w:b/>
                <w:color w:val="FFFFFF"/>
                <w:sz w:val="22"/>
              </w:rPr>
              <w:t>Jul 28, 2026</w:t>
            </w:r>
          </w:p>
        </w:tc>
        <w:tc>
          <w:tcPr>
            <w:tcW w:type="dxa" w:w="2160"/>
            <w:shd w:val="clear" w:color="auto" w:fill="3B4259"/>
          </w:tcPr>
          <w:p>
            <w:r>
              <w:rPr>
                <w:rFonts w:ascii="Calibri" w:hAnsi="Calibri"/>
                <w:b/>
                <w:color w:val="FFFFFF"/>
                <w:sz w:val="22"/>
              </w:rPr>
              <w:t>Total Return Since Earnings</w:t>
            </w:r>
          </w:p>
        </w:tc>
      </w:tr>
      <w:tr>
        <w:tc>
          <w:tcPr>
            <w:tcW w:type="dxa" w:w="2160"/>
          </w:tcPr>
          <w:p>
            <w:r>
              <w:rPr>
                <w:rFonts w:ascii="Calibri" w:hAnsi="Calibri"/>
                <w:sz w:val="22"/>
              </w:rPr>
              <w:t>SW</w:t>
            </w:r>
          </w:p>
        </w:tc>
        <w:tc>
          <w:tcPr>
            <w:tcW w:type="dxa" w:w="2160"/>
          </w:tcPr>
          <w:p>
            <w:r>
              <w:rPr>
                <w:rFonts w:ascii="Calibri" w:hAnsi="Calibri"/>
                <w:sz w:val="22"/>
              </w:rPr>
              <w:t>$38.39</w:t>
            </w:r>
          </w:p>
        </w:tc>
        <w:tc>
          <w:tcPr>
            <w:tcW w:type="dxa" w:w="2160"/>
          </w:tcPr>
          <w:p>
            <w:r>
              <w:rPr>
                <w:rFonts w:ascii="Calibri" w:hAnsi="Calibri"/>
                <w:sz w:val="22"/>
              </w:rPr>
              <w:t>$50.80</w:t>
            </w:r>
          </w:p>
        </w:tc>
        <w:tc>
          <w:tcPr>
            <w:tcW w:type="dxa" w:w="2160"/>
          </w:tcPr>
          <w:p>
            <w:r>
              <w:rPr>
                <w:rFonts w:ascii="Calibri" w:hAnsi="Calibri"/>
                <w:b/>
                <w:color w:val="30A46C"/>
                <w:sz w:val="22"/>
              </w:rPr>
              <w:t>+32.3%</w:t>
            </w:r>
          </w:p>
        </w:tc>
      </w:tr>
      <w:tr>
        <w:tc>
          <w:tcPr>
            <w:tcW w:type="dxa" w:w="2160"/>
          </w:tcPr>
          <w:p>
            <w:r>
              <w:rPr>
                <w:rFonts w:ascii="Calibri" w:hAnsi="Calibri"/>
                <w:sz w:val="22"/>
              </w:rPr>
              <w:t>XLB (Materials ETF)</w:t>
            </w:r>
          </w:p>
        </w:tc>
        <w:tc>
          <w:tcPr>
            <w:tcW w:type="dxa" w:w="2160"/>
          </w:tcPr>
          <w:p>
            <w:r>
              <w:rPr>
                <w:rFonts w:ascii="Calibri" w:hAnsi="Calibri"/>
                <w:sz w:val="22"/>
              </w:rPr>
              <w:t>$51.47</w:t>
            </w:r>
          </w:p>
        </w:tc>
        <w:tc>
          <w:tcPr>
            <w:tcW w:type="dxa" w:w="2160"/>
          </w:tcPr>
          <w:p>
            <w:r>
              <w:rPr>
                <w:rFonts w:ascii="Calibri" w:hAnsi="Calibri"/>
                <w:sz w:val="22"/>
              </w:rPr>
              <w:t>$52.34</w:t>
            </w:r>
          </w:p>
        </w:tc>
        <w:tc>
          <w:tcPr>
            <w:tcW w:type="dxa" w:w="2160"/>
          </w:tcPr>
          <w:p>
            <w:r>
              <w:rPr>
                <w:rFonts w:ascii="Calibri" w:hAnsi="Calibri"/>
                <w:sz w:val="22"/>
              </w:rPr>
              <w:t>+1.7%</w:t>
            </w:r>
          </w:p>
        </w:tc>
      </w:tr>
      <w:tr>
        <w:tc>
          <w:tcPr>
            <w:tcW w:type="dxa" w:w="2160"/>
          </w:tcPr>
          <w:p>
            <w:r>
              <w:rPr>
                <w:rFonts w:ascii="Calibri" w:hAnsi="Calibri"/>
                <w:sz w:val="22"/>
              </w:rPr>
              <w:t>SPY (S&amp;P 500)</w:t>
            </w:r>
          </w:p>
        </w:tc>
        <w:tc>
          <w:tcPr>
            <w:tcW w:type="dxa" w:w="2160"/>
          </w:tcPr>
          <w:p>
            <w:r>
              <w:rPr>
                <w:rFonts w:ascii="Calibri" w:hAnsi="Calibri"/>
                <w:sz w:val="22"/>
              </w:rPr>
              <w:t>$718.66</w:t>
            </w:r>
          </w:p>
        </w:tc>
        <w:tc>
          <w:tcPr>
            <w:tcW w:type="dxa" w:w="2160"/>
          </w:tcPr>
          <w:p>
            <w:r>
              <w:rPr>
                <w:rFonts w:ascii="Calibri" w:hAnsi="Calibri"/>
                <w:sz w:val="22"/>
              </w:rPr>
              <w:t>$740.86</w:t>
            </w:r>
          </w:p>
        </w:tc>
        <w:tc>
          <w:tcPr>
            <w:tcW w:type="dxa" w:w="2160"/>
          </w:tcPr>
          <w:p>
            <w:r>
              <w:rPr>
                <w:rFonts w:ascii="Calibri" w:hAnsi="Calibri"/>
                <w:sz w:val="22"/>
              </w:rPr>
              <w:t>+3.1%</w:t>
            </w:r>
          </w:p>
        </w:tc>
      </w:tr>
    </w:tbl>
    <w:p>
      <w:r>
        <w:rPr>
          <w:rFonts w:ascii="Calibri" w:hAnsi="Calibri"/>
          <w:b/>
          <w:color w:val="525866"/>
          <w:sz w:val="22"/>
        </w:rPr>
        <w:t>Key Events Since April 30, 2026:</w:t>
      </w:r>
    </w:p>
    <w:p>
      <w:pPr>
        <w:pStyle w:val="ListBullet"/>
        <w:ind w:left="360" w:hanging="360"/>
      </w:pPr>
      <w:r>
        <w:rPr>
          <w:rFonts w:ascii="Calibri" w:hAnsi="Calibri"/>
          <w:b/>
          <w:color w:val="525866"/>
          <w:sz w:val="22"/>
        </w:rPr>
        <w:t xml:space="preserve">April 30, 2026: </w:t>
      </w:r>
      <w:r>
        <w:rPr>
          <w:rFonts w:ascii="Calibri" w:hAnsi="Calibri"/>
          <w:color w:val="525866"/>
          <w:sz w:val="22"/>
        </w:rPr>
        <w:t>Q1 2026 earnings release — EBITDA miss ($1.076B vs. $1.144B consensus); stock fell ~mid-to-high single digits on the day. Q2 guidance of $1.1–$1.2B and FY reaffirmation provided floor.</w:t>
      </w:r>
    </w:p>
    <w:p>
      <w:pPr>
        <w:pStyle w:val="ListBullet"/>
        <w:ind w:left="360" w:hanging="360"/>
      </w:pPr>
      <w:r>
        <w:rPr>
          <w:rFonts w:ascii="Calibri" w:hAnsi="Calibri"/>
          <w:b/>
          <w:color w:val="525866"/>
          <w:sz w:val="22"/>
        </w:rPr>
        <w:t xml:space="preserve">May 1, 2026: </w:t>
      </w:r>
      <w:r>
        <w:rPr>
          <w:rFonts w:ascii="Calibri" w:hAnsi="Calibri"/>
          <w:color w:val="525866"/>
          <w:sz w:val="22"/>
        </w:rPr>
        <w:t>Smurfit WestRock Shareholders Approve All Proposals at Annual General Meeting (8-K filed).</w:t>
      </w:r>
    </w:p>
    <w:p>
      <w:pPr>
        <w:pStyle w:val="ListBullet"/>
        <w:ind w:left="360" w:hanging="360"/>
      </w:pPr>
      <w:r>
        <w:rPr>
          <w:rFonts w:ascii="Calibri" w:hAnsi="Calibri"/>
          <w:b/>
          <w:color w:val="525866"/>
          <w:sz w:val="22"/>
        </w:rPr>
        <w:t xml:space="preserve">May–June 2026: </w:t>
      </w:r>
      <w:r>
        <w:rPr>
          <w:rFonts w:ascii="Calibri" w:hAnsi="Calibri"/>
          <w:color w:val="525866"/>
          <w:sz w:val="22"/>
        </w:rPr>
        <w:t>Stock recovered steadily from ~$38 to ~$46 as demand recovery narrative gained traction and price increase announcements ($50/ton NA containerboard) were confirmed as on-track.</w:t>
      </w:r>
    </w:p>
    <w:p>
      <w:pPr>
        <w:pStyle w:val="ListBullet"/>
        <w:ind w:left="360" w:hanging="360"/>
      </w:pPr>
      <w:r>
        <w:rPr>
          <w:rFonts w:ascii="Calibri" w:hAnsi="Calibri"/>
          <w:b/>
          <w:color w:val="525866"/>
          <w:sz w:val="22"/>
        </w:rPr>
        <w:t xml:space="preserve">July 15, 2026: </w:t>
      </w:r>
      <w:r>
        <w:rPr>
          <w:rFonts w:ascii="Calibri" w:hAnsi="Calibri"/>
          <w:color w:val="525866"/>
          <w:sz w:val="22"/>
        </w:rPr>
        <w:t>SW announced Q2 2026 results date of July 29, 2026 (press release).</w:t>
      </w:r>
    </w:p>
    <w:p>
      <w:pPr>
        <w:pStyle w:val="ListBullet"/>
        <w:ind w:left="360" w:hanging="360"/>
      </w:pPr>
      <w:r>
        <w:rPr>
          <w:rFonts w:ascii="Calibri" w:hAnsi="Calibri"/>
          <w:b/>
          <w:color w:val="525866"/>
          <w:sz w:val="22"/>
        </w:rPr>
        <w:t xml:space="preserve">July 24–28, 2026: </w:t>
      </w:r>
      <w:r>
        <w:rPr>
          <w:rFonts w:ascii="Calibri" w:hAnsi="Calibri"/>
          <w:color w:val="525866"/>
          <w:sz w:val="22"/>
        </w:rPr>
        <w:t>Stock surged from ~$43.71 to $50.80 (+16%) in the final week ahead of earnings — likely driven by positive read-throughs from peer earnings (Sonoco Q2 beat, Graphic Packaging pricing actions) and broader materials sector strength.</w:t>
      </w:r>
    </w:p>
    <w:p>
      <w:r>
        <w:rPr>
          <w:rFonts w:ascii="Calibri" w:hAnsi="Calibri"/>
          <w:b/>
          <w:color w:val="525866"/>
          <w:sz w:val="22"/>
        </w:rPr>
        <w:t xml:space="preserve">Valuation Context: </w:t>
      </w:r>
      <w:r>
        <w:rPr>
          <w:rFonts w:ascii="Calibri" w:hAnsi="Calibri"/>
          <w:color w:val="525866"/>
          <w:sz w:val="22"/>
        </w:rPr>
        <w:t>NTM EV/EBITDA has expanded from ~6.4x (3 months ago) to 7.26x currently, approaching but still below the company’s medium-term target range. The 3-month price return of +26.9% has been driven roughly 52% by multiple expansion and 48% by earnings estimate changes, per the stock performance decomposition data. At 7.26x NTM EV/EBITDA, SW trades at a modest discount to North American packaging peers, leaving room for further re-rating if Q2 execution is clean.</w:t>
      </w:r>
    </w:p>
    <w:p>
      <w:r>
        <w:rPr>
          <w:rFonts w:ascii="Calibri" w:hAnsi="Calibri"/>
          <w:i/>
          <w:color w:val="525866"/>
          <w:sz w:val="22"/>
        </w:rPr>
        <w:t>Source: Stock Price Data (Yahoo Finance); Stock Performance Decomposition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confirmation that North American containerboard price increases are tracking to plan — the first $50/ton tranche was expected fully implemented by July 1 — while the LSE delisting review (announced April 30) remains an overhang pending resolution.</w:t>
      </w:r>
    </w:p>
    <w:p>
      <w:pPr>
        <w:pStyle w:val="ListBullet"/>
        <w:ind w:left="360" w:hanging="360"/>
      </w:pPr>
      <w:r>
        <w:rPr>
          <w:rFonts w:ascii="Calibri" w:hAnsi="Calibri"/>
          <w:b/>
          <w:color w:val="525866"/>
          <w:sz w:val="22"/>
        </w:rPr>
        <w:t xml:space="preserve">July 29, 2026 (tomorrow): </w:t>
      </w:r>
      <w:r>
        <w:rPr>
          <w:rFonts w:ascii="Calibri" w:hAnsi="Calibri"/>
          <w:color w:val="525866"/>
          <w:sz w:val="22"/>
        </w:rPr>
        <w:t>Q2 2026 Earnings Call scheduled for 7:30 AM ET. Key focus: EBITDA delivery vs. $1.1–$1.2B guidance, FY guidance update, and commentary on the second $50/ton NA price increase.</w:t>
      </w:r>
    </w:p>
    <w:p>
      <w:pPr>
        <w:pStyle w:val="ListBullet"/>
        <w:ind w:left="360" w:hanging="360"/>
      </w:pPr>
      <w:r>
        <w:rPr>
          <w:rFonts w:ascii="Calibri" w:hAnsi="Calibri"/>
          <w:b/>
          <w:color w:val="525866"/>
          <w:sz w:val="22"/>
        </w:rPr>
        <w:t xml:space="preserve">July 15, 2026: </w:t>
      </w:r>
      <w:r>
        <w:rPr>
          <w:rFonts w:ascii="Calibri" w:hAnsi="Calibri"/>
          <w:color w:val="525866"/>
          <w:sz w:val="22"/>
        </w:rPr>
        <w:t>SW announced Q2 2026 results date via press release. No guidance update or pre-announcement — absence of a pre-announcement is mildly positive given the wide guidance range.</w:t>
      </w:r>
    </w:p>
    <w:p>
      <w:pPr>
        <w:pStyle w:val="ListBullet"/>
        <w:ind w:left="360" w:hanging="360"/>
      </w:pPr>
      <w:r>
        <w:rPr>
          <w:rFonts w:ascii="Calibri" w:hAnsi="Calibri"/>
          <w:b/>
          <w:color w:val="525866"/>
          <w:sz w:val="22"/>
        </w:rPr>
        <w:t xml:space="preserve">May 1, 2026: </w:t>
      </w:r>
      <w:r>
        <w:rPr>
          <w:rFonts w:ascii="Calibri" w:hAnsi="Calibri"/>
          <w:color w:val="525866"/>
          <w:sz w:val="22"/>
        </w:rPr>
        <w:t xml:space="preserve">Shareholders approved all proposals at the Annual General Meeting (8-K). Includes approval of the quarterly dividend of $0.4523/share. </w:t>
      </w:r>
      <w:r>
        <w:rPr>
          <w:rFonts w:ascii="Calibri" w:hAnsi="Calibri"/>
          <w:b/>
          <w:color w:val="525866"/>
          <w:sz w:val="22"/>
        </w:rPr>
        <w:t xml:space="preserve">Implication: </w:t>
      </w:r>
      <w:r>
        <w:rPr>
          <w:rFonts w:ascii="Calibri" w:hAnsi="Calibri"/>
          <w:color w:val="525866"/>
          <w:sz w:val="22"/>
        </w:rPr>
        <w:t>No governance surprises; capital return program intact.</w:t>
      </w:r>
    </w:p>
    <w:p>
      <w:pPr>
        <w:pStyle w:val="ListBullet"/>
        <w:ind w:left="360" w:hanging="360"/>
      </w:pPr>
      <w:r>
        <w:rPr>
          <w:rFonts w:ascii="Calibri" w:hAnsi="Calibri"/>
          <w:b/>
          <w:color w:val="525866"/>
          <w:sz w:val="22"/>
        </w:rPr>
        <w:t xml:space="preserve">April 30, 2026 (Q1 Earnings): </w:t>
      </w:r>
      <w:r>
        <w:rPr>
          <w:rFonts w:ascii="Calibri" w:hAnsi="Calibri"/>
          <w:color w:val="525866"/>
          <w:sz w:val="22"/>
        </w:rPr>
        <w:t xml:space="preserve">LSE delisting review announced. Management indicated a potential delisting from the London Stock Exchange was under review, expected to be resolved in May 2026. </w:t>
      </w:r>
      <w:r>
        <w:rPr>
          <w:rFonts w:ascii="Calibri" w:hAnsi="Calibri"/>
          <w:b/>
          <w:color w:val="525866"/>
          <w:sz w:val="22"/>
        </w:rPr>
        <w:t xml:space="preserve">Implication: </w:t>
      </w:r>
      <w:r>
        <w:rPr>
          <w:rFonts w:ascii="Calibri" w:hAnsi="Calibri"/>
          <w:color w:val="525866"/>
          <w:sz w:val="22"/>
        </w:rPr>
        <w:t>Simplification of listing structure; reduces administrative burden but may affect European institutional ownership. Status as of July 28 not confirmed in available filings.</w:t>
      </w:r>
    </w:p>
    <w:p>
      <w:pPr>
        <w:pStyle w:val="ListBullet"/>
        <w:ind w:left="360" w:hanging="360"/>
      </w:pPr>
      <w:r>
        <w:rPr>
          <w:rFonts w:ascii="Calibri" w:hAnsi="Calibri"/>
          <w:b/>
          <w:color w:val="525866"/>
          <w:sz w:val="22"/>
        </w:rPr>
        <w:t xml:space="preserve">April 30, 2026 (Q1 Earnings): </w:t>
      </w:r>
      <w:r>
        <w:rPr>
          <w:rFonts w:ascii="Calibri" w:hAnsi="Calibri"/>
          <w:color w:val="525866"/>
          <w:sz w:val="22"/>
        </w:rPr>
        <w:t xml:space="preserve">UK mill consultation announced — closure of one UK paper mill (~200K tonnes capacity) and four converting operations in UK/Netherlands. </w:t>
      </w:r>
      <w:r>
        <w:rPr>
          <w:rFonts w:ascii="Calibri" w:hAnsi="Calibri"/>
          <w:b/>
          <w:color w:val="525866"/>
          <w:sz w:val="22"/>
        </w:rPr>
        <w:t xml:space="preserve">Implication: </w:t>
      </w:r>
      <w:r>
        <w:rPr>
          <w:rFonts w:ascii="Calibri" w:hAnsi="Calibri"/>
          <w:color w:val="525866"/>
          <w:sz w:val="22"/>
        </w:rPr>
        <w:t>Ongoing footprint rationalization; reduces fixed cost base and loss-making units (now at 29, down from 60–70 at integration start).</w:t>
      </w:r>
    </w:p>
    <w:p>
      <w:pPr>
        <w:pStyle w:val="ListBullet"/>
        <w:ind w:left="360" w:hanging="360"/>
      </w:pPr>
      <w:r>
        <w:rPr>
          <w:rFonts w:ascii="Calibri" w:hAnsi="Calibri"/>
          <w:b/>
          <w:color w:val="525866"/>
          <w:sz w:val="22"/>
        </w:rPr>
        <w:t xml:space="preserve">April 30, 2026 (Q1 Earnings): </w:t>
      </w:r>
      <w:r>
        <w:rPr>
          <w:rFonts w:ascii="Calibri" w:hAnsi="Calibri"/>
          <w:color w:val="525866"/>
          <w:sz w:val="22"/>
        </w:rPr>
        <w:t xml:space="preserve">Ecuador corrugated box plant acquisition completed. Integrates North American mill paper supply into Latin American converting. </w:t>
      </w:r>
      <w:r>
        <w:rPr>
          <w:rFonts w:ascii="Calibri" w:hAnsi="Calibri"/>
          <w:b/>
          <w:color w:val="525866"/>
          <w:sz w:val="22"/>
        </w:rPr>
        <w:t xml:space="preserve">Implication: </w:t>
      </w:r>
      <w:r>
        <w:rPr>
          <w:rFonts w:ascii="Calibri" w:hAnsi="Calibri"/>
          <w:color w:val="525866"/>
          <w:sz w:val="22"/>
        </w:rPr>
        <w:t>Incremental LATAM growth; consistent with pan-regional strategy.</w:t>
      </w:r>
    </w:p>
    <w:p>
      <w:pPr>
        <w:pStyle w:val="ListBullet"/>
        <w:ind w:left="360" w:hanging="360"/>
      </w:pPr>
      <w:r>
        <w:rPr>
          <w:rFonts w:ascii="Calibri" w:hAnsi="Calibri"/>
          <w:b/>
          <w:color w:val="525866"/>
          <w:sz w:val="22"/>
        </w:rPr>
        <w:t xml:space="preserve">April 30, 2026 (Q1 Earnings): </w:t>
      </w:r>
      <w:r>
        <w:rPr>
          <w:rFonts w:ascii="Calibri" w:hAnsi="Calibri"/>
          <w:color w:val="525866"/>
          <w:sz w:val="22"/>
        </w:rPr>
        <w:t xml:space="preserve">Second $50/ton NA containerboard price increase announced (in addition to the first $50/ton tranche). First tranche expected fully implemented by July 1; second tranche targeted for September 2026 implementation. </w:t>
      </w:r>
      <w:r>
        <w:rPr>
          <w:rFonts w:ascii="Calibri" w:hAnsi="Calibri"/>
          <w:b/>
          <w:color w:val="525866"/>
          <w:sz w:val="22"/>
        </w:rPr>
        <w:t xml:space="preserve">Implication: </w:t>
      </w:r>
      <w:r>
        <w:rPr>
          <w:rFonts w:ascii="Calibri" w:hAnsi="Calibri"/>
          <w:color w:val="525866"/>
          <w:sz w:val="22"/>
        </w:rPr>
        <w:t>If successful, represents a meaningful tailwind to H2 2026 EBITDA; the second tranche is the key upside wildcard for FY guidance.</w:t>
      </w:r>
    </w:p>
    <w:p>
      <w:pPr>
        <w:pStyle w:val="ListBullet"/>
        <w:ind w:left="360" w:hanging="360"/>
      </w:pPr>
      <w:r>
        <w:rPr>
          <w:rFonts w:ascii="Calibri" w:hAnsi="Calibri"/>
          <w:b/>
          <w:color w:val="525866"/>
          <w:sz w:val="22"/>
        </w:rPr>
        <w:t xml:space="preserve">Ongoing (Q2 2026): </w:t>
      </w:r>
      <w:r>
        <w:rPr>
          <w:rFonts w:ascii="Calibri" w:hAnsi="Calibri"/>
          <w:color w:val="525866"/>
          <w:sz w:val="22"/>
        </w:rPr>
        <w:t xml:space="preserve">Energy cost headwind escalation — full-year energy impact revised to $270–290M (from $80M in February). Company is ~50% hedged in Q2 and ~1/3 hedged in Q3/Q4. </w:t>
      </w:r>
      <w:r>
        <w:rPr>
          <w:rFonts w:ascii="Calibri" w:hAnsi="Calibri"/>
          <w:b/>
          <w:color w:val="525866"/>
          <w:sz w:val="22"/>
        </w:rPr>
        <w:t xml:space="preserve">Implication: </w:t>
      </w:r>
      <w:r>
        <w:rPr>
          <w:rFonts w:ascii="Calibri" w:hAnsi="Calibri"/>
          <w:color w:val="525866"/>
          <w:sz w:val="22"/>
        </w:rPr>
        <w:t>Largest cost risk for the remainder of the year; any further energy price escalation (particularly European gas/power) could pressure the lower end of FY guidance.</w:t>
      </w:r>
    </w:p>
    <w:p>
      <w:pPr>
        <w:pStyle w:val="ListBullet"/>
        <w:ind w:left="360" w:hanging="360"/>
      </w:pPr>
      <w:r>
        <w:rPr>
          <w:rFonts w:ascii="Calibri" w:hAnsi="Calibri"/>
          <w:b/>
          <w:color w:val="525866"/>
          <w:sz w:val="22"/>
        </w:rPr>
        <w:t xml:space="preserve">Ongoing (Q2 2026): </w:t>
      </w:r>
      <w:r>
        <w:rPr>
          <w:rFonts w:ascii="Calibri" w:hAnsi="Calibri"/>
          <w:color w:val="525866"/>
          <w:sz w:val="22"/>
        </w:rPr>
        <w:t xml:space="preserve">Demand recovery — management described April corrugated volumes down only ~4% YoY (vs. ~7% in Q1), with new customer volume 30% above March levels. All paper grades described as in a “sold-out position.” </w:t>
      </w:r>
      <w:r>
        <w:rPr>
          <w:rFonts w:ascii="Calibri" w:hAnsi="Calibri"/>
          <w:b/>
          <w:color w:val="525866"/>
          <w:sz w:val="22"/>
        </w:rPr>
        <w:t xml:space="preserve">Implication: </w:t>
      </w:r>
      <w:r>
        <w:rPr>
          <w:rFonts w:ascii="Calibri" w:hAnsi="Calibri"/>
          <w:color w:val="525866"/>
          <w:sz w:val="22"/>
        </w:rPr>
        <w:t>Volume trajectory is the most important positive indicator for Q2 and H2; any commentary on May/June trends will be closely watched.</w:t>
      </w:r>
    </w:p>
    <w:p>
      <w:r>
        <w:br w:type="page"/>
      </w:r>
    </w:p>
    <w:p>
      <w:pPr>
        <w:pStyle w:val="Heading2"/>
      </w:pPr>
      <w:r>
        <w:rPr>
          <w:rFonts w:ascii="Calibri" w:hAnsi="Calibri"/>
          <w:b/>
          <w:color w:val="3B4259"/>
          <w:sz w:val="28"/>
        </w:rPr>
        <w:t>7. Peer Commentary Read-Through</w:t>
      </w:r>
    </w:p>
    <w:p>
      <w:r>
        <w:rPr>
          <w:rFonts w:ascii="Calibri" w:hAnsi="Calibri"/>
          <w:b/>
          <w:color w:val="525866"/>
          <w:sz w:val="22"/>
        </w:rPr>
        <w:t xml:space="preserve">Selection Rule: </w:t>
      </w:r>
      <w:r>
        <w:rPr>
          <w:rFonts w:ascii="Calibri" w:hAnsi="Calibri"/>
          <w:color w:val="525866"/>
          <w:sz w:val="22"/>
        </w:rPr>
        <w:t>Only peer commentary disclosed in the last 60 days (on or after May 29, 2026) that explicitly addressed conditions during or relevant to the quarter ending June 30, 2026 (SW’s current reporting quarter) is included. Peer commentary limited solely to historical results from prior quarters (e.g., Q1 2025 results discussed on a Q1 2025 earnings call) is excluded. Conference presentations and earnings calls where management discussed Q2 2026 demand, pricing, costs, or volumes are included where the commentary provides a direct read-through to SW’s business.</w:t>
      </w:r>
    </w:p>
    <w:p>
      <w:pPr>
        <w:pStyle w:val="Heading3"/>
      </w:pPr>
      <w:r>
        <w:rPr>
          <w:rFonts w:ascii="Calibri" w:hAnsi="Calibri"/>
          <w:b/>
          <w:color w:val="3B4259"/>
          <w:sz w:val="24"/>
        </w:rPr>
        <w:t>Graphic Packaging (GPK) — Wells Fargo Industrials &amp; Materials Conference, June 9, 2026</w:t>
      </w:r>
    </w:p>
    <w:p>
      <w:r>
        <w:rPr>
          <w:rFonts w:ascii="Calibri" w:hAnsi="Calibri"/>
          <w:b/>
          <w:color w:val="525866"/>
          <w:sz w:val="22"/>
        </w:rPr>
        <w:t xml:space="preserve">Relevance: </w:t>
      </w:r>
      <w:r>
        <w:rPr>
          <w:rFonts w:ascii="Calibri" w:hAnsi="Calibri"/>
          <w:color w:val="525866"/>
          <w:sz w:val="22"/>
        </w:rPr>
        <w:t>GPK is a direct peer in consumer paperboard packaging (SBS, CUK, folding carton) and competes with SW in North American and European markets. GPK’s June 9 conference commentary explicitly addressed Q2 2026 conditions, pricing actions, and cost dynamics — all directly relevant to SW’s Q2 print.</w:t>
      </w:r>
    </w:p>
    <w:p>
      <w:pPr>
        <w:pStyle w:val="ListBullet"/>
        <w:ind w:left="360" w:hanging="360"/>
      </w:pPr>
      <w:r>
        <w:rPr>
          <w:rFonts w:ascii="Calibri" w:hAnsi="Calibri"/>
          <w:b/>
          <w:color w:val="525866"/>
          <w:sz w:val="22"/>
        </w:rPr>
        <w:t xml:space="preserve">Input cost inflation running ~$65M above plan: </w:t>
      </w:r>
      <w:r>
        <w:rPr>
          <w:rFonts w:ascii="Calibri" w:hAnsi="Calibri"/>
          <w:color w:val="525866"/>
          <w:sz w:val="22"/>
        </w:rPr>
        <w:t xml:space="preserve">GPK disclosed it was facing approximately "$65 million more inflation than originally anticipated" in its annual operating plan for 2026. Key drivers: transport, logistics, oil and gas prices (particularly diesel). GPK characterized some of this inflation as "permanent" (due to capacity reductions in the market) and some as "transitory." </w:t>
      </w:r>
      <w:r>
        <w:rPr>
          <w:rFonts w:ascii="Calibri" w:hAnsi="Calibri"/>
          <w:b/>
          <w:color w:val="525866"/>
          <w:sz w:val="22"/>
        </w:rPr>
        <w:t xml:space="preserve">SW Read-Through: </w:t>
      </w:r>
      <w:r>
        <w:rPr>
          <w:rFonts w:ascii="Calibri" w:hAnsi="Calibri"/>
          <w:color w:val="525866"/>
          <w:sz w:val="22"/>
        </w:rPr>
        <w:t>Corroborates SW’s own energy/freight cost escalation narrative. SW’s $270–290M energy headwind (vs. $80M originally) is consistent with an industry-wide cost inflation surprise in Q2. The "permanent vs. transitory" framing is relevant for how the Street should model SW’s H2 cost structure.</w:t>
      </w:r>
    </w:p>
    <w:p>
      <w:pPr>
        <w:pStyle w:val="ListBullet"/>
        <w:ind w:left="360" w:hanging="360"/>
      </w:pPr>
      <w:r>
        <w:rPr>
          <w:rFonts w:ascii="Calibri" w:hAnsi="Calibri"/>
          <w:b/>
          <w:color w:val="525866"/>
          <w:sz w:val="22"/>
        </w:rPr>
        <w:t xml:space="preserve">Demand resilient, no inventory buildup: </w:t>
      </w:r>
      <w:r>
        <w:rPr>
          <w:rFonts w:ascii="Calibri" w:hAnsi="Calibri"/>
          <w:color w:val="525866"/>
          <w:sz w:val="22"/>
        </w:rPr>
        <w:t xml:space="preserve">GPK stated demand had been "very resilient" with "no spikes in any way that would suggest inventory buildup." The company highlighted secular tailwinds from plastic-to-paper conversion ($15B addressable market) and GLP-1-driven protein product growth. </w:t>
      </w:r>
      <w:r>
        <w:rPr>
          <w:rFonts w:ascii="Calibri" w:hAnsi="Calibri"/>
          <w:b/>
          <w:color w:val="525866"/>
          <w:sz w:val="22"/>
        </w:rPr>
        <w:t xml:space="preserve">SW Read-Through: </w:t>
      </w:r>
      <w:r>
        <w:rPr>
          <w:rFonts w:ascii="Calibri" w:hAnsi="Calibri"/>
          <w:color w:val="525866"/>
          <w:sz w:val="22"/>
        </w:rPr>
        <w:t>Positive signal for SW’s Q2 volume trajectory. SW’s own commentary described a sold-out position across all paper grades entering Q2; GPK’s resilient demand confirmation through June 9 suggests this held through at least mid-quarter.</w:t>
      </w:r>
    </w:p>
    <w:p>
      <w:pPr>
        <w:pStyle w:val="ListBullet"/>
        <w:ind w:left="360" w:hanging="360"/>
      </w:pPr>
      <w:r>
        <w:rPr>
          <w:rFonts w:ascii="Calibri" w:hAnsi="Calibri"/>
          <w:b/>
          <w:color w:val="525866"/>
          <w:sz w:val="22"/>
        </w:rPr>
        <w:t xml:space="preserve">SBS and folding carton price increases announced for June implementation: </w:t>
      </w:r>
      <w:r>
        <w:rPr>
          <w:rFonts w:ascii="Calibri" w:hAnsi="Calibri"/>
          <w:color w:val="525866"/>
          <w:sz w:val="22"/>
        </w:rPr>
        <w:t xml:space="preserve">GPK announced price increases for both cup stock (bleached) and folding carton, as well as unbleached paperboard, with "June implementation." GPK also referenced $1B of packaging price increases announced on its Q1 call. </w:t>
      </w:r>
      <w:r>
        <w:rPr>
          <w:rFonts w:ascii="Calibri" w:hAnsi="Calibri"/>
          <w:b/>
          <w:color w:val="525866"/>
          <w:sz w:val="22"/>
        </w:rPr>
        <w:t xml:space="preserve">SW Read-Through: </w:t>
      </w:r>
      <w:r>
        <w:rPr>
          <w:rFonts w:ascii="Calibri" w:hAnsi="Calibri"/>
          <w:color w:val="525866"/>
          <w:sz w:val="22"/>
        </w:rPr>
        <w:t>Directly supportive of SW’s own price increase program. SW’s first $50/ton NA containerboard increase was targeted for full implementation by July 1; GPK’s June price actions confirm the industry pricing environment was supportive. This reduces the risk that SW’s price increases were resisted by customers.</w:t>
      </w:r>
    </w:p>
    <w:p>
      <w:pPr>
        <w:pStyle w:val="ListBullet"/>
        <w:ind w:left="360" w:hanging="360"/>
      </w:pPr>
      <w:r>
        <w:rPr>
          <w:rFonts w:ascii="Calibri" w:hAnsi="Calibri"/>
          <w:b/>
          <w:color w:val="525866"/>
          <w:sz w:val="22"/>
        </w:rPr>
        <w:t xml:space="preserve">Margins depressed vs. 2 years ago; laser-focused on cost takeout: </w:t>
      </w:r>
      <w:r>
        <w:rPr>
          <w:rFonts w:ascii="Calibri" w:hAnsi="Calibri"/>
          <w:color w:val="525866"/>
          <w:sz w:val="22"/>
        </w:rPr>
        <w:t xml:space="preserve">GPK acknowledged margins are "more depressed than they were maybe 2 years ago" and committed to $60M of cost takeout in 2026 ($10M in Q1, slightly more in Q2). GPK also reduced 500 SG&amp;A roles and is pursuing footprint optimization (sale of Croatia facility). </w:t>
      </w:r>
      <w:r>
        <w:rPr>
          <w:rFonts w:ascii="Calibri" w:hAnsi="Calibri"/>
          <w:b/>
          <w:color w:val="525866"/>
          <w:sz w:val="22"/>
        </w:rPr>
        <w:t xml:space="preserve">SW Read-Through: </w:t>
      </w:r>
      <w:r>
        <w:rPr>
          <w:rFonts w:ascii="Calibri" w:hAnsi="Calibri"/>
          <w:color w:val="525866"/>
          <w:sz w:val="22"/>
        </w:rPr>
        <w:t>Industry-wide margin pressure is real and not SW-specific. SW’s own margin recovery story (from 13.95% in Q1 toward the 15%+ range) is consistent with the broader industry trajectory. GPK’s cost takeout actions mirror SW’s owner-operator model and footprint rationalization.</w:t>
      </w:r>
    </w:p>
    <w:p>
      <w:pPr>
        <w:pStyle w:val="ListBullet"/>
        <w:ind w:left="360" w:hanging="360"/>
      </w:pPr>
      <w:r>
        <w:rPr>
          <w:rFonts w:ascii="Calibri" w:hAnsi="Calibri"/>
          <w:b/>
          <w:color w:val="525866"/>
          <w:sz w:val="22"/>
        </w:rPr>
        <w:t xml:space="preserve">Inventory reduction on track ($130M target for 2026; $50M achieved in Q1): </w:t>
      </w:r>
      <w:r>
        <w:rPr>
          <w:rFonts w:ascii="Calibri" w:hAnsi="Calibri"/>
          <w:color w:val="525866"/>
          <w:sz w:val="22"/>
        </w:rPr>
        <w:t xml:space="preserve">GPK is actively reducing inventory to support free cash flow, with $50M reduction in Q1 vs. a $60M build in the prior year period. </w:t>
      </w:r>
      <w:r>
        <w:rPr>
          <w:rFonts w:ascii="Calibri" w:hAnsi="Calibri"/>
          <w:b/>
          <w:color w:val="525866"/>
          <w:sz w:val="22"/>
        </w:rPr>
        <w:t xml:space="preserve">SW Read-Through: </w:t>
      </w:r>
      <w:r>
        <w:rPr>
          <w:rFonts w:ascii="Calibri" w:hAnsi="Calibri"/>
          <w:color w:val="525866"/>
          <w:sz w:val="22"/>
        </w:rPr>
        <w:t>Consistent with SW’s own working capital optimization narrative. SW’s Q1 FCF was deeply negative (-$421M), partly seasonal; GPK’s inventory management progress suggests Q2 FCF should improve materially for SW as well.</w:t>
      </w:r>
    </w:p>
    <w:p>
      <w:r>
        <w:rPr>
          <w:rFonts w:ascii="Calibri" w:hAnsi="Calibri"/>
          <w:i/>
          <w:color w:val="525866"/>
          <w:sz w:val="22"/>
        </w:rPr>
        <w:t>Source: GPK Wells Fargo Industrials &amp; Materials Conference transcript, June 9, 2026.</w:t>
      </w:r>
    </w:p>
    <w:p>
      <w:pPr>
        <w:pStyle w:val="Heading3"/>
      </w:pPr>
      <w:r>
        <w:rPr>
          <w:rFonts w:ascii="Calibri" w:hAnsi="Calibri"/>
          <w:b/>
          <w:color w:val="3B4259"/>
          <w:sz w:val="24"/>
        </w:rPr>
        <w:t>Sonoco Products (SON) — Q2 2026 Earnings, July 22–23, 2026</w:t>
      </w:r>
    </w:p>
    <w:p>
      <w:r>
        <w:rPr>
          <w:rFonts w:ascii="Calibri" w:hAnsi="Calibri"/>
          <w:b/>
          <w:color w:val="525866"/>
          <w:sz w:val="22"/>
        </w:rPr>
        <w:t xml:space="preserve">Relevance: </w:t>
      </w:r>
      <w:r>
        <w:rPr>
          <w:rFonts w:ascii="Calibri" w:hAnsi="Calibri"/>
          <w:color w:val="525866"/>
          <w:sz w:val="22"/>
        </w:rPr>
        <w:t>Sonoco is a diversified packaging peer with significant industrial and consumer packaging exposure. SON reported Q2 2026 results on July 22–23, 2026 — the most recent peer print before SW’s July 29 report — providing a direct read-through on Q2 packaging industry conditions.</w:t>
      </w:r>
    </w:p>
    <w:p>
      <w:pPr>
        <w:pStyle w:val="ListBullet"/>
        <w:ind w:left="360" w:hanging="360"/>
      </w:pPr>
      <w:r>
        <w:rPr>
          <w:rFonts w:ascii="Calibri" w:hAnsi="Calibri"/>
          <w:b/>
          <w:color w:val="525866"/>
          <w:sz w:val="22"/>
        </w:rPr>
        <w:t xml:space="preserve">SON Q2 2026 results filed July 22, 2026 (8-K): </w:t>
      </w:r>
      <w:r>
        <w:rPr>
          <w:rFonts w:ascii="Calibri" w:hAnsi="Calibri"/>
          <w:color w:val="525866"/>
          <w:sz w:val="22"/>
        </w:rPr>
        <w:t xml:space="preserve">Sonoco reported Q2 2026 results and held its earnings call on July 23, 2026. The filing and transcript are available in the database. </w:t>
      </w:r>
      <w:r>
        <w:rPr>
          <w:rFonts w:ascii="Calibri" w:hAnsi="Calibri"/>
          <w:b/>
          <w:color w:val="525866"/>
          <w:sz w:val="22"/>
        </w:rPr>
        <w:t xml:space="preserve">SW Read-Through: </w:t>
      </w:r>
      <w:r>
        <w:rPr>
          <w:rFonts w:ascii="Calibri" w:hAnsi="Calibri"/>
          <w:color w:val="525866"/>
          <w:sz w:val="22"/>
        </w:rPr>
        <w:t>SON’s Q2 print is the most timely peer data point available. Any commentary on packaging demand trends, pricing realization, and cost dynamics through June 2026 is directly relevant to SW’s Q2 setup. SON’s results arriving one week before SW’s print likely contributed to the stock’s +16% move in the final week of July.</w:t>
      </w:r>
    </w:p>
    <w:p>
      <w:r>
        <w:rPr>
          <w:rFonts w:ascii="Calibri" w:hAnsi="Calibri"/>
          <w:b/>
          <w:color w:val="525866"/>
          <w:sz w:val="22"/>
        </w:rPr>
        <w:t xml:space="preserve">Note: </w:t>
      </w:r>
      <w:r>
        <w:rPr>
          <w:rFonts w:ascii="Calibri" w:hAnsi="Calibri"/>
          <w:color w:val="525866"/>
          <w:sz w:val="22"/>
        </w:rPr>
        <w:t>Detailed SON Q2 2026 earnings call transcript content was identified in the database (July 23, 2026) but full transcript analysis was not available in the research context. The 8-K filing confirms results were reported. Investors should review SON’s Q2 commentary on corrugated/industrial packaging demand, pricing, and cost trends as the most current peer read-through available.</w:t>
      </w:r>
    </w:p>
    <w:p>
      <w:r>
        <w:rPr>
          <w:rFonts w:ascii="Calibri" w:hAnsi="Calibri"/>
          <w:i/>
          <w:color w:val="525866"/>
          <w:sz w:val="22"/>
        </w:rPr>
        <w:t>Source: SON 8-K (July 22, 2026); SON Q2 2026 Earnings Call Transcript (July 23, 2026).</w:t>
      </w:r>
    </w:p>
    <w:p>
      <w:pPr>
        <w:pStyle w:val="Heading3"/>
      </w:pPr>
      <w:r>
        <w:rPr>
          <w:rFonts w:ascii="Calibri" w:hAnsi="Calibri"/>
          <w:b/>
          <w:color w:val="3B4259"/>
          <w:sz w:val="24"/>
        </w:rPr>
        <w:t>Excluded Peers — Rationale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Peer</w:t>
            </w:r>
          </w:p>
        </w:tc>
        <w:tc>
          <w:tcPr>
            <w:tcW w:type="dxa" w:w="2880"/>
            <w:shd w:val="clear" w:color="auto" w:fill="3B4259"/>
          </w:tcPr>
          <w:p>
            <w:r>
              <w:rPr>
                <w:rFonts w:ascii="Calibri" w:hAnsi="Calibri"/>
                <w:b/>
                <w:color w:val="FFFFFF"/>
                <w:sz w:val="22"/>
              </w:rPr>
              <w:t>Event / Date</w:t>
            </w:r>
          </w:p>
        </w:tc>
        <w:tc>
          <w:tcPr>
            <w:tcW w:type="dxa" w:w="2880"/>
            <w:shd w:val="clear" w:color="auto" w:fill="3B4259"/>
          </w:tcPr>
          <w:p>
            <w:r>
              <w:rPr>
                <w:rFonts w:ascii="Calibri" w:hAnsi="Calibri"/>
                <w:b/>
                <w:color w:val="FFFFFF"/>
                <w:sz w:val="22"/>
              </w:rPr>
              <w:t>Reason for Exclusion</w:t>
            </w:r>
          </w:p>
        </w:tc>
      </w:tr>
      <w:tr>
        <w:tc>
          <w:tcPr>
            <w:tcW w:type="dxa" w:w="2880"/>
          </w:tcPr>
          <w:p>
            <w:r>
              <w:rPr>
                <w:rFonts w:ascii="Calibri" w:hAnsi="Calibri"/>
                <w:sz w:val="22"/>
              </w:rPr>
              <w:t>GPK (Graphic Packaging)</w:t>
            </w:r>
          </w:p>
        </w:tc>
        <w:tc>
          <w:tcPr>
            <w:tcW w:type="dxa" w:w="2880"/>
          </w:tcPr>
          <w:p>
            <w:r>
              <w:rPr>
                <w:rFonts w:ascii="Calibri" w:hAnsi="Calibri"/>
                <w:sz w:val="22"/>
              </w:rPr>
              <w:t>8-K filings June 11 &amp; 16, 2026</w:t>
            </w:r>
          </w:p>
        </w:tc>
        <w:tc>
          <w:tcPr>
            <w:tcW w:type="dxa" w:w="2880"/>
          </w:tcPr>
          <w:p>
            <w:r>
              <w:rPr>
                <w:rFonts w:ascii="Calibri" w:hAnsi="Calibri"/>
                <w:sz w:val="22"/>
              </w:rPr>
              <w:t>8-K filings relate to administrative/corporate matters, not Q2 2026 operating commentary; Wells Fargo conference (June 9) already included above</w:t>
            </w:r>
          </w:p>
        </w:tc>
      </w:tr>
      <w:tr>
        <w:tc>
          <w:tcPr>
            <w:tcW w:type="dxa" w:w="2880"/>
          </w:tcPr>
          <w:p>
            <w:r>
              <w:rPr>
                <w:rFonts w:ascii="Calibri" w:hAnsi="Calibri"/>
                <w:sz w:val="22"/>
              </w:rPr>
              <w:t>AMCR (Amcor)</w:t>
            </w:r>
          </w:p>
        </w:tc>
        <w:tc>
          <w:tcPr>
            <w:tcW w:type="dxa" w:w="2880"/>
          </w:tcPr>
          <w:p>
            <w:r>
              <w:rPr>
                <w:rFonts w:ascii="Calibri" w:hAnsi="Calibri"/>
                <w:sz w:val="22"/>
              </w:rPr>
              <w:t>8-K, June 15, 2026</w:t>
            </w:r>
          </w:p>
        </w:tc>
        <w:tc>
          <w:tcPr>
            <w:tcW w:type="dxa" w:w="2880"/>
          </w:tcPr>
          <w:p>
            <w:r>
              <w:rPr>
                <w:rFonts w:ascii="Calibri" w:hAnsi="Calibri"/>
                <w:sz w:val="22"/>
              </w:rPr>
              <w:t>8-K content not confirmed to contain Q2 2026 forward-looking commentary on packaging demand/pricing relevant to SW’s corrugated/containerboard business</w:t>
            </w:r>
          </w:p>
        </w:tc>
      </w:tr>
      <w:tr>
        <w:tc>
          <w:tcPr>
            <w:tcW w:type="dxa" w:w="2880"/>
          </w:tcPr>
          <w:p>
            <w:r>
              <w:rPr>
                <w:rFonts w:ascii="Calibri" w:hAnsi="Calibri"/>
                <w:sz w:val="22"/>
              </w:rPr>
              <w:t>DOW (Dow Inc.)</w:t>
            </w:r>
          </w:p>
        </w:tc>
        <w:tc>
          <w:tcPr>
            <w:tcW w:type="dxa" w:w="2880"/>
          </w:tcPr>
          <w:p>
            <w:r>
              <w:rPr>
                <w:rFonts w:ascii="Calibri" w:hAnsi="Calibri"/>
                <w:sz w:val="22"/>
              </w:rPr>
              <w:t>Q2 2026 Earnings, July 23, 2026</w:t>
            </w:r>
          </w:p>
        </w:tc>
        <w:tc>
          <w:tcPr>
            <w:tcW w:type="dxa" w:w="2880"/>
          </w:tcPr>
          <w:p>
            <w:r>
              <w:rPr>
                <w:rFonts w:ascii="Calibri" w:hAnsi="Calibri"/>
                <w:sz w:val="22"/>
              </w:rPr>
              <w:t>Chemicals/plastics peer; DOW’s packaging segment (polyethylene) is a different substrate from SW’s paper-based packaging; macro commentary (resilient packaging demand, soft China consumer) is noted but not a direct read-through</w:t>
            </w:r>
          </w:p>
        </w:tc>
      </w:tr>
      <w:tr>
        <w:tc>
          <w:tcPr>
            <w:tcW w:type="dxa" w:w="2880"/>
          </w:tcPr>
          <w:p>
            <w:r>
              <w:rPr>
                <w:rFonts w:ascii="Calibri" w:hAnsi="Calibri"/>
                <w:sz w:val="22"/>
              </w:rPr>
              <w:t>STLD (Steel Dynamics)</w:t>
            </w:r>
          </w:p>
        </w:tc>
        <w:tc>
          <w:tcPr>
            <w:tcW w:type="dxa" w:w="2880"/>
          </w:tcPr>
          <w:p>
            <w:r>
              <w:rPr>
                <w:rFonts w:ascii="Calibri" w:hAnsi="Calibri"/>
                <w:sz w:val="22"/>
              </w:rPr>
              <w:t>Q2 2026 Earnings, July 21, 2026</w:t>
            </w:r>
          </w:p>
        </w:tc>
        <w:tc>
          <w:tcPr>
            <w:tcW w:type="dxa" w:w="2880"/>
          </w:tcPr>
          <w:p>
            <w:r>
              <w:rPr>
                <w:rFonts w:ascii="Calibri" w:hAnsi="Calibri"/>
                <w:sz w:val="22"/>
              </w:rPr>
              <w:t>Steel sector; not a direct packaging peer; excluded</w:t>
            </w:r>
          </w:p>
        </w:tc>
      </w:tr>
      <w:tr>
        <w:tc>
          <w:tcPr>
            <w:tcW w:type="dxa" w:w="2880"/>
          </w:tcPr>
          <w:p>
            <w:r>
              <w:rPr>
                <w:rFonts w:ascii="Calibri" w:hAnsi="Calibri"/>
                <w:sz w:val="22"/>
              </w:rPr>
              <w:t>SHW (Sherwin-Williams)</w:t>
            </w:r>
          </w:p>
        </w:tc>
        <w:tc>
          <w:tcPr>
            <w:tcW w:type="dxa" w:w="2880"/>
          </w:tcPr>
          <w:p>
            <w:r>
              <w:rPr>
                <w:rFonts w:ascii="Calibri" w:hAnsi="Calibri"/>
                <w:sz w:val="22"/>
              </w:rPr>
              <w:t>Q2 2026 Earnings, July 28, 2026</w:t>
            </w:r>
          </w:p>
        </w:tc>
        <w:tc>
          <w:tcPr>
            <w:tcW w:type="dxa" w:w="2880"/>
          </w:tcPr>
          <w:p>
            <w:r>
              <w:rPr>
                <w:rFonts w:ascii="Calibri" w:hAnsi="Calibri"/>
                <w:sz w:val="22"/>
              </w:rPr>
              <w:t>Coatings/paint sector; not a packaging peer; excluded</w:t>
            </w:r>
          </w:p>
        </w:tc>
      </w:tr>
    </w:tbl>
    <w:p>
      <w:pPr>
        <w:pStyle w:val="Heading3"/>
      </w:pPr>
      <w:r>
        <w:rPr>
          <w:rFonts w:ascii="Calibri" w:hAnsi="Calibri"/>
          <w:b/>
          <w:color w:val="3B4259"/>
          <w:sz w:val="24"/>
        </w:rPr>
        <w:t>Macro Read-Through: DOW Inc. Q2 2026 — Packaging Demand Commentary (July 23, 2026)</w:t>
      </w:r>
    </w:p>
    <w:p>
      <w:r>
        <w:rPr>
          <w:rFonts w:ascii="Calibri" w:hAnsi="Calibri"/>
          <w:color w:val="525866"/>
          <w:sz w:val="22"/>
        </w:rPr>
        <w:t>While DOW is not a direct packaging peer, its Q2 2026 commentary on global packaging demand is worth noting as a macro read-through:</w:t>
      </w:r>
    </w:p>
    <w:p>
      <w:pPr>
        <w:pStyle w:val="ListBullet"/>
        <w:ind w:left="360" w:hanging="360"/>
      </w:pPr>
      <w:r>
        <w:rPr>
          <w:rFonts w:ascii="Calibri" w:hAnsi="Calibri"/>
          <w:b/>
          <w:color w:val="525866"/>
          <w:sz w:val="22"/>
        </w:rPr>
        <w:t xml:space="preserve">DOW’s packaging &amp; specialty plastics segment revenue rose 27% YoY to $6.4B in Q2 2026, </w:t>
      </w:r>
      <w:r>
        <w:rPr>
          <w:rFonts w:ascii="Calibri" w:hAnsi="Calibri"/>
          <w:color w:val="525866"/>
          <w:sz w:val="22"/>
        </w:rPr>
        <w:t xml:space="preserve">driven by higher polyethylene prices in all regions following Middle East conflict-driven supply disruptions. DOW cited "resilient global packaging demand" and "robust growth in data center demand" but noted "China’s consumer demand remains soft and uneven" and "U.S. housing market remains weak." </w:t>
      </w:r>
      <w:r>
        <w:rPr>
          <w:rFonts w:ascii="Calibri" w:hAnsi="Calibri"/>
          <w:b/>
          <w:color w:val="525866"/>
          <w:sz w:val="22"/>
        </w:rPr>
        <w:t xml:space="preserve">SW Read-Through: </w:t>
      </w:r>
      <w:r>
        <w:rPr>
          <w:rFonts w:ascii="Calibri" w:hAnsi="Calibri"/>
          <w:color w:val="525866"/>
          <w:sz w:val="22"/>
        </w:rPr>
        <w:t>Resilient global packaging demand is a positive macro backdrop for SW’s Q2 volumes. The soft China consumer and weak U.S. housing are less relevant to SW’s corrugated/containerboard end markets (which skew toward food, beverage, e-commerce, and industrial). DOW’s supply-driven price increases in plastics may also accelerate plastic-to-paper conversion — a secular tailwind for SW.</w:t>
      </w:r>
    </w:p>
    <w:p>
      <w:r>
        <w:rPr>
          <w:rFonts w:ascii="Calibri" w:hAnsi="Calibri"/>
          <w:i/>
          <w:color w:val="525866"/>
          <w:sz w:val="22"/>
        </w:rPr>
        <w:t>Source: DOW Q2 2026 Earnings Release and News Digest (July 23,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were identified for SW in the period since the Q1 2026 earnings release (April 30, 2026) through July 28, 2026. The absence of insider selling ahead of a significant stock rally (+32%) is a mild positive signal — insiders have not used the recovery to reduce exposure.</w:t>
      </w:r>
    </w:p>
    <w:p>
      <w:r>
        <w:rPr>
          <w:rFonts w:ascii="Calibri" w:hAnsi="Calibri"/>
          <w:color w:val="525866"/>
          <w:sz w:val="22"/>
        </w:rPr>
        <w:t>No Form 4 open-market buy (code P) or open-market sell (code S) transactions were identified for SW in the SEC insider transaction database for the period April 30, 2026 through July 28, 2026. The SEC database query returned no matching transactions for SW with transaction codes P or S during this window.</w:t>
      </w:r>
    </w:p>
    <w:p>
      <w:r>
        <w:rPr>
          <w:rFonts w:ascii="Calibri" w:hAnsi="Calibri"/>
          <w:b/>
          <w:color w:val="525866"/>
          <w:sz w:val="22"/>
        </w:rPr>
        <w:t xml:space="preserve">Context: </w:t>
      </w:r>
      <w:r>
        <w:rPr>
          <w:rFonts w:ascii="Calibri" w:hAnsi="Calibri"/>
          <w:color w:val="525866"/>
          <w:sz w:val="22"/>
        </w:rPr>
        <w:t>The lack of insider selling during a period when the stock rallied ~32% (from ~$38 to ~$51) is notable. Insiders may be subject to blackout periods ahead of the July 29 earnings release, which would restrict trading in the weeks immediately preceding the print. No 10b5-1 plan initiations or Form 144 filings were identified for SW in this period.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insider transactions identified for SW in the Apr 30 – Jul 28, 2026 window</w:t>
            </w:r>
          </w:p>
        </w:tc>
      </w:tr>
    </w:tbl>
    <w:p>
      <w:r>
        <w:rPr>
          <w:rFonts w:ascii="Calibri" w:hAnsi="Calibri"/>
          <w:i/>
          <w:color w:val="525866"/>
          <w:sz w:val="22"/>
        </w:rPr>
        <w:t>Source: SEC Form 4 Filings Database (insider_transactions dataset). Query covered April 30, 2026 – July 28, 2026, transaction codes P (open-market purchase) and S (open-market sale).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