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-earnings-predictions--2026-07-29"/>
    <w:p>
      <w:pPr>
        <w:pStyle w:val="Heading1"/>
      </w:pPr>
      <w:r>
        <w:t xml:space="preserve">SWK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 vs. cons $1.21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~33.0% (+~280bps YoY) vs. cons ~33.2% (+~300bps YoY)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~$3.90B vs. cons $4.00B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~$5.30 mid (range</w:t>
            </w:r>
            <w:r>
              <w:t xml:space="preserve"> </w:t>
            </w:r>
            <m:oMath>
              <m:r>
                <m:t>4.90</m:t>
              </m:r>
              <m:r>
                <m:rPr>
                  <m:sty m:val="p"/>
                </m:rPr>
                <m:t>−</m:t>
              </m:r>
            </m:oMath>
            <w:r>
              <w:t xml:space="preserve">5.70) vs. cons ~$5.25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Gross Margin checkpoint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~34% vs. cons ~33.7%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 GM expansion / Q4 35%+ path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~+150bps FY &amp; ~35% exit vs. cons ~+150bps / ~34.8% (Q4'26)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600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(</m:t>
              </m:r>
            </m:oMath>
            <w:r>
              <w:t xml:space="preserve">500-700M) vs. cons ~$600M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inflection / buyback pace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~+LSD organic &amp; ~$500M buyback authorization vs. cons ~+1-2% organic (Q2'26/FY)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SWK sits near 52-wk highs (+23% YTD, +40% off April low, ~9% into the print) with Q2 guidance already public, so a modest EPS beat is largely priced in — a classic good-but-priced-in setup. History shows SWK reliably sells the news (Q1'26 ~-3%, Q2'25 ~-7% day-1). With margins only meeting the ~300bps promise and revenue optically light on the CAM step-down, there's no upside catalyst to force positive revisions; management reaffirms rather than raises the $4.90-5.70 FY range, so out-period estimates get trimmed toward the low-to-mid point, pulling the stock lower over the week. Follow-through on the initial drop as elevated expectations reset.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2026-07-29T00:11:06Z</dcterms:created>
  <dcterms:modified xsi:type="dcterms:W3CDTF">2026-07-29T00:11:06Z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