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SWK (Stanley Black &amp; Decker) to build a comprehensive earnings preview. Let me start gathering information.Let me dig into the most recent earnings materials and recent news/price action.Let me get the Q1 earnings release details and recent stock price action.Let me pull recent news and the broader sector backdrop to round out the preview.Let me get current consensus estimates and any recent analyst commentary via a quick web search.I have what I need. Here's the earnings preview.</w:t>
      </w:r>
    </w:p>
    <w:p>
      <w:r>
        <w:pict>
          <v:rect style="width:0;height:1.5pt" o:hralign="center" o:hrstd="t" o:hr="t"/>
        </w:pict>
      </w:r>
    </w:p>
    <w:bookmarkStart w:id="20" w:name="X71a8d584f342034114b9174821f7deff5b7d34f"/>
    <w:p>
      <w:pPr>
        <w:pStyle w:val="Heading1"/>
      </w:pPr>
      <w:r>
        <w:t xml:space="preserve">Stanley Black &amp; Decker (SWK) — Q2 2026 Earnings Preview</w:t>
      </w:r>
    </w:p>
    <w:bookmarkStart w:id="9" w:name="X54e9f7890248071181866439d646f2cc810999f"/>
    <w:p>
      <w:pPr>
        <w:pStyle w:val="Heading3"/>
      </w:pPr>
      <w:r>
        <w:t xml:space="preserve">Reports before market open, Wednesday, July 29, 2026 (2Q'26 Earnings Call)</w:t>
      </w:r>
    </w:p>
    <w:bookmarkEnd w:id="9"/>
    <w:bookmarkStart w:id="10" w:name="the-setup-in-one-line"/>
    <w:p>
      <w:pPr>
        <w:pStyle w:val="Heading2"/>
      </w:pPr>
      <w:r>
        <w:t xml:space="preserve">The Setup in One Line</w:t>
      </w:r>
    </w:p>
    <w:p>
      <w:pPr>
        <w:pStyle w:val="FirstParagraph"/>
      </w:pPr>
      <w:r>
        <w:t xml:space="preserve">SWK heads into this print as a self-help/margin-recovery story with a freshly de-levered balance sheet, having rallied hard into the quarter. The bar is set: management gave explicit Q2 guidance last quarter, the tariff picture has since crystallized in a way close to their base case, and the stock is sitting near 52-week highs — so execution and the second-half gross-margin ramp matter more than the headline beat.</w:t>
      </w:r>
    </w:p>
    <w:bookmarkEnd w:id="10"/>
    <w:bookmarkStart w:id="11" w:name="what-the-street-expects"/>
    <w:p>
      <w:pPr>
        <w:pStyle w:val="Heading2"/>
      </w:pPr>
      <w:r>
        <w:t xml:space="preserve">What the Street Expects</w:t>
      </w:r>
    </w:p>
    <w:p>
      <w:pPr>
        <w:pStyle w:val="Compact"/>
        <w:numPr>
          <w:ilvl w:val="0"/>
          <w:numId w:val="1001"/>
        </w:numPr>
      </w:pPr>
      <w:r>
        <w:rPr>
          <w:b/>
          <w:bCs/>
        </w:rPr>
        <w:t xml:space="preserve">Consensus EPS ≈</w:t>
      </w:r>
      <w:r>
        <w:rPr>
          <w:b/>
          <w:bCs/>
        </w:rPr>
        <w:t xml:space="preserve"> </w:t>
      </w:r>
      <m:oMath>
        <m:r>
          <m:t>1.20</m:t>
        </m:r>
        <m:r>
          <m:rPr>
            <m:sty m:val="p"/>
          </m:rPr>
          <m:t>–</m:t>
        </m:r>
      </m:oMath>
      <w:r>
        <w:rPr>
          <w:b/>
          <w:bCs/>
        </w:rPr>
        <w:t xml:space="preserve">1.21</w:t>
      </w:r>
      <w:r>
        <w:t xml:space="preserve">, up roughly 11% from</w:t>
      </w:r>
      <w:r>
        <w:t xml:space="preserve"> </w:t>
      </w:r>
      <m:oMath>
        <m:r>
          <m:t>1.08</m:t>
        </m:r>
        <m:r>
          <m:t>i</m:t>
        </m:r>
        <m:r>
          <m:t>n</m:t>
        </m:r>
        <m:r>
          <m:t>t</m:t>
        </m:r>
        <m:r>
          <m:t>h</m:t>
        </m:r>
        <m:r>
          <m:t>e</m:t>
        </m:r>
        <m:r>
          <m:t>y</m:t>
        </m:r>
        <m:r>
          <m:t>e</m:t>
        </m:r>
        <m:r>
          <m:t>a</m:t>
        </m:r>
        <m:r>
          <m:t>r</m:t>
        </m:r>
        <m:r>
          <m:rPr>
            <m:sty m:val="p"/>
          </m:rPr>
          <m:t>−</m:t>
        </m:r>
        <m:r>
          <m:t>a</m:t>
        </m:r>
        <m:r>
          <m:t>g</m:t>
        </m:r>
        <m:r>
          <m:t>o</m:t>
        </m:r>
        <m:r>
          <m:t>q</m:t>
        </m:r>
        <m:r>
          <m:t>u</m:t>
        </m:r>
        <m:r>
          <m:t>a</m:t>
        </m:r>
        <m:r>
          <m:t>r</m:t>
        </m:r>
        <m:r>
          <m:t>t</m:t>
        </m:r>
        <m:r>
          <m:t>e</m:t>
        </m:r>
        <m:r>
          <m:t>r</m:t>
        </m:r>
        <m:r>
          <m:rPr>
            <m:sty m:val="p"/>
          </m:rPr>
          <m:t>,</m:t>
        </m:r>
        <m:r>
          <m:t>w</m:t>
        </m:r>
        <m:r>
          <m:t>i</m:t>
        </m:r>
        <m:r>
          <m:t>t</m:t>
        </m:r>
        <m:r>
          <m:t>h</m:t>
        </m:r>
        <m:r>
          <m:t>r</m:t>
        </m:r>
        <m:r>
          <m:t>e</m:t>
        </m:r>
        <m:r>
          <m:t>v</m:t>
        </m:r>
        <m:r>
          <m:t>e</m:t>
        </m:r>
        <m:r>
          <m:t>n</m:t>
        </m:r>
        <m:r>
          <m:t>u</m:t>
        </m:r>
        <m:r>
          <m:t>e</m:t>
        </m:r>
        <m:r>
          <m:t>c</m:t>
        </m:r>
        <m:r>
          <m:t>o</m:t>
        </m:r>
        <m:r>
          <m:t>n</m:t>
        </m:r>
        <m:r>
          <m:t>s</m:t>
        </m:r>
        <m:r>
          <m:t>e</m:t>
        </m:r>
        <m:r>
          <m:t>n</m:t>
        </m:r>
        <m:r>
          <m:t>s</m:t>
        </m:r>
        <m:r>
          <m:t>u</m:t>
        </m:r>
        <m:r>
          <m:t>s</m:t>
        </m:r>
        <m:r>
          <m:t>a</m:t>
        </m:r>
        <m:r>
          <m:t>r</m:t>
        </m:r>
        <m:r>
          <m:t>o</m:t>
        </m:r>
        <m:r>
          <m:t>u</m:t>
        </m:r>
        <m:r>
          <m:t>n</m:t>
        </m:r>
        <m:r>
          <m:t>d</m:t>
        </m:r>
        <m:r>
          <m:rPr>
            <m:sty m:val="p"/>
          </m:rPr>
          <m:t>*</m:t>
        </m:r>
        <m:r>
          <m:rPr>
            <m:sty m:val="p"/>
          </m:rPr>
          <m:t>*</m:t>
        </m:r>
      </m:oMath>
      <w:r>
        <w:t xml:space="preserve">4.0B**.</w:t>
      </w:r>
    </w:p>
    <w:p>
      <w:pPr>
        <w:pStyle w:val="Compact"/>
        <w:numPr>
          <w:ilvl w:val="0"/>
          <w:numId w:val="1001"/>
        </w:numPr>
      </w:pPr>
      <w:r>
        <w:t xml:space="preserve">Management's own Q2 guide (given April 29): net sales of around $3.9 billion, down slightly year-over-year due to the sale of CAM, but up by a low single-digit percentage on an organic basis, with adjusted earnings per share expected to be approximately $1.15 to $1.25 on a ~20% tax rate.</w:t>
      </w:r>
    </w:p>
    <w:p>
      <w:pPr>
        <w:pStyle w:val="Compact"/>
        <w:numPr>
          <w:ilvl w:val="0"/>
          <w:numId w:val="1001"/>
        </w:numPr>
      </w:pPr>
      <w:r>
        <w:t xml:space="preserve">Note the small gap: Street revenue (~</w:t>
      </w:r>
      <m:oMath>
        <m:r>
          <m:t>4.0</m:t>
        </m:r>
        <m:r>
          <m:t>B</m:t>
        </m:r>
        <m:r>
          <m:rPr>
            <m:sty m:val="p"/>
          </m:rPr>
          <m:t>)</m:t>
        </m:r>
        <m:r>
          <m:t>s</m:t>
        </m:r>
        <m:r>
          <m:t>i</m:t>
        </m:r>
        <m:r>
          <m:t>t</m:t>
        </m:r>
        <m:r>
          <m:t>s</m:t>
        </m:r>
        <m:r>
          <m:t>a</m:t>
        </m:r>
        <m:r>
          <m:t>t</m:t>
        </m:r>
        <m:r>
          <m:t>o</m:t>
        </m:r>
        <m:r>
          <m:t>u</m:t>
        </m:r>
        <m:r>
          <m:t>c</m:t>
        </m:r>
        <m:r>
          <m:t>h</m:t>
        </m:r>
        <m:r>
          <m:t>a</m:t>
        </m:r>
        <m:r>
          <m:t>b</m:t>
        </m:r>
        <m:r>
          <m:t>o</m:t>
        </m:r>
        <m:r>
          <m:t>v</m:t>
        </m:r>
        <m:r>
          <m:t>e</m:t>
        </m:r>
        <m:r>
          <m:t>t</m:t>
        </m:r>
        <m:r>
          <m:t>h</m:t>
        </m:r>
        <m:r>
          <m:t>e</m:t>
        </m:r>
        <m:r>
          <m:t>c</m:t>
        </m:r>
        <m:r>
          <m:t>o</m:t>
        </m:r>
        <m:r>
          <m:t>m</m:t>
        </m:r>
        <m:r>
          <m:t>p</m:t>
        </m:r>
        <m:r>
          <m:t>a</m:t>
        </m:r>
        <m:r>
          <m:t>n</m:t>
        </m:r>
        <m:sSup>
          <m:e>
            <m:r>
              <m:t>y</m:t>
            </m:r>
          </m:e>
          <m:sup>
            <m:r>
              <m:rPr>
                <m:sty m:val="p"/>
              </m:rPr>
              <m:t>′</m:t>
            </m:r>
          </m:sup>
        </m:sSup>
        <m:r>
          <m:t>s</m:t>
        </m:r>
        <m:r>
          <m:t> </m:t>
        </m:r>
      </m:oMath>
      <w:r>
        <w:t xml:space="preserve">3.9B guide, largely a function of how analysts are modeling the CAM (aerospace fasteners) divestiture that closed April 6. So a modest reported "miss" vs. Street revenue would not necessarily be a negative surprise.</w:t>
      </w:r>
    </w:p>
    <w:bookmarkEnd w:id="11"/>
    <w:bookmarkStart w:id="12" w:name="X4079ec5e7dabf95f30346007024d54a0cdff201"/>
    <w:p>
      <w:pPr>
        <w:pStyle w:val="Heading2"/>
      </w:pPr>
      <w:r>
        <w:t xml:space="preserve">The Single Most Important Number: Gross Margin</w:t>
      </w:r>
    </w:p>
    <w:p>
      <w:pPr>
        <w:pStyle w:val="FirstParagraph"/>
      </w:pPr>
      <w:r>
        <w:t xml:space="preserve">This is the crux of the SWK thesis. Management has staked its credibility on a steep gross-margin ramp, and Q2 is a key checkpoint:</w:t>
      </w:r>
    </w:p>
    <w:p>
      <w:pPr>
        <w:pStyle w:val="Compact"/>
        <w:numPr>
          <w:ilvl w:val="0"/>
          <w:numId w:val="1002"/>
        </w:numPr>
      </w:pPr>
      <w:r>
        <w:t xml:space="preserve">For Q2 specifically, the benefits of pricing, tariff mitigation and productivity initiatives are expected to deliver an approximate 300 basis points year-over-year improvement on adjusted gross margin, offsetting the continued impact of volume deleverage from the second half of 2025.</w:t>
      </w:r>
    </w:p>
    <w:p>
      <w:pPr>
        <w:pStyle w:val="Compact"/>
        <w:numPr>
          <w:ilvl w:val="0"/>
          <w:numId w:val="1002"/>
        </w:numPr>
      </w:pPr>
      <w:r>
        <w:t xml:space="preserve">Full year: adjusted gross margins will expand by approximately 150 basis points year-over-year, with a back-half acceleration — roughly 150 basis points of implied improvement in the first half and roughly 200 basis points of implied improvement in the second half.</w:t>
      </w:r>
    </w:p>
    <w:p>
      <w:pPr>
        <w:pStyle w:val="Compact"/>
        <w:numPr>
          <w:ilvl w:val="0"/>
          <w:numId w:val="1002"/>
        </w:numPr>
      </w:pPr>
      <w:r>
        <w:t xml:space="preserve">The headline target investors are underwriting: remain fully committed to achieving adjusted gross margins of 35-plus percent... We anticipate reaching this milestone by the fourth quarter of 2026, and we continue to target 35% to 37% adjusted gross margin by the end of 2028.</w:t>
      </w:r>
    </w:p>
    <w:p>
      <w:pPr>
        <w:pStyle w:val="FirstParagraph"/>
      </w:pPr>
      <w:r>
        <w:t xml:space="preserve">Importantly, management claimed strong visibility, saying on the Q1 call that we can see the 34-and-a-fraction percentage gross margin for the third quarter already on our balance sheet. Watch whether Q2 delivers the ~300bps and whether they reaffirm the Q4 path to 35%. Q1 adjusted gross margin was 30.2%, down 20 basis points... as operational cost improvements and higher pricing were largely offset by increased tariff expense, volume deleverage, and other inflation. The math requires a meaningful sequential and YoY inflection starting now.</w:t>
      </w:r>
    </w:p>
    <w:bookmarkEnd w:id="12"/>
    <w:bookmarkStart w:id="13" w:name="X4805128d5d8b4ed53939004bafff6a33d1a7e22"/>
    <w:p>
      <w:pPr>
        <w:pStyle w:val="Heading2"/>
      </w:pPr>
      <w:r>
        <w:t xml:space="preserve">Tariffs: The Picture Has Firmed Up Since Q1</w:t>
      </w:r>
    </w:p>
    <w:p>
      <w:pPr>
        <w:pStyle w:val="FirstParagraph"/>
      </w:pPr>
      <w:r>
        <w:t xml:space="preserve">This was the biggest swing factor at Q1, and real-world policy has now moved toward management's base case. On the call they explained: we have a temporary period of lower tariffs since the replacement Section 122 tariffs are lower than the former IEEPA tariffs. Our base case assumption is that new Section 301 tariffs will be introduced at the same level as the old IEEPA tariffs, which means our underlying tariff costs would be virtually the same by August as they were prior to the Supreme Court ruling.</w:t>
      </w:r>
    </w:p>
    <w:p>
      <w:pPr>
        <w:pStyle w:val="BodyText"/>
      </w:pPr>
      <w:r>
        <w:t xml:space="preserve">Consistent with that, Section 301 tariffs (generally 10%–12.5%) did in fact take effect in late July as the temporary Section 122 levies expired — closely matching the "roughly back to IEEPA levels by August" assumption. Key nuances to listen for:</w:t>
      </w:r>
    </w:p>
    <w:p>
      <w:pPr>
        <w:pStyle w:val="Compact"/>
        <w:numPr>
          <w:ilvl w:val="0"/>
          <w:numId w:val="1003"/>
        </w:numPr>
      </w:pPr>
      <w:r>
        <w:t xml:space="preserve">Management framed the net-of-everything effect as neutral-to-slightly-positive: we believe the combined impact from these inflationary pressures roughly offsets the benefit from the tariff tailwind in the year. The offsets are inflation in battery metals, tungsten (saw-blade/drill-bit tips), and resins/freight tied to Middle East conflict.</w:t>
      </w:r>
    </w:p>
    <w:p>
      <w:pPr>
        <w:pStyle w:val="Compact"/>
        <w:numPr>
          <w:ilvl w:val="0"/>
          <w:numId w:val="1003"/>
        </w:numPr>
      </w:pPr>
      <w:r>
        <w:t xml:space="preserve">They downplayed the Section 232 scare: we assess the incremental headwind to be just $15 million on an annualized basis and less than $10 million for 2026.</w:t>
      </w:r>
    </w:p>
    <w:p>
      <w:pPr>
        <w:pStyle w:val="Compact"/>
        <w:numPr>
          <w:ilvl w:val="0"/>
          <w:numId w:val="1003"/>
        </w:numPr>
      </w:pPr>
      <w:r>
        <w:rPr>
          <w:b/>
          <w:bCs/>
        </w:rPr>
        <w:t xml:space="preserve">Mitigation milestones</w:t>
      </w:r>
      <w:r>
        <w:t xml:space="preserve"> </w:t>
      </w:r>
      <w:r>
        <w:t xml:space="preserve">are the real tell on structural margin: USMCA qualification (was ~1/3 of products, moving toward/above industry average) and the goal that less than 5% of our sales in the U.S. coming from China-sourced product by the end of the year. Any progress update here supports the durability of the margin story.</w:t>
      </w:r>
    </w:p>
    <w:bookmarkEnd w:id="13"/>
    <w:bookmarkStart w:id="14" w:name="capital-allocation-the-new-lever"/>
    <w:p>
      <w:pPr>
        <w:pStyle w:val="Heading2"/>
      </w:pPr>
      <w:r>
        <w:t xml:space="preserve">Capital Allocation: The New Lever</w:t>
      </w:r>
    </w:p>
    <w:p>
      <w:pPr>
        <w:pStyle w:val="FirstParagraph"/>
      </w:pPr>
      <w:r>
        <w:t xml:space="preserve">The CAM sale to Howmet fundamentally changed the balance sheet and the equity story. Net proceeds from the CAM transaction were approximately $1.57 billion, net of projected taxes and fees. We have used the vast majority of these proceeds to reduce debt in the second quarter. Watch for:</w:t>
      </w:r>
    </w:p>
    <w:p>
      <w:pPr>
        <w:pStyle w:val="Compact"/>
        <w:numPr>
          <w:ilvl w:val="0"/>
          <w:numId w:val="1004"/>
        </w:numPr>
      </w:pPr>
      <w:r>
        <w:rPr>
          <w:b/>
          <w:bCs/>
        </w:rPr>
        <w:t xml:space="preserve">Deleveraging confirmation</w:t>
      </w:r>
      <w:r>
        <w:t xml:space="preserve"> </w:t>
      </w:r>
      <w:r>
        <w:t xml:space="preserve">— target of 2.5x net debt to adjusted EBITDA... firmly on track to be at or around 2.5x by year-end.</w:t>
      </w:r>
    </w:p>
    <w:p>
      <w:pPr>
        <w:pStyle w:val="Compact"/>
        <w:numPr>
          <w:ilvl w:val="0"/>
          <w:numId w:val="1004"/>
        </w:numPr>
      </w:pPr>
      <w:r>
        <w:rPr>
          <w:b/>
          <w:bCs/>
        </w:rPr>
        <w:t xml:space="preserve">Buybacks</w:t>
      </w:r>
      <w:r>
        <w:t xml:space="preserve"> </w:t>
      </w:r>
      <w:r>
        <w:t xml:space="preserve">— the pivot: we are firmly focused on accelerating organic growth and using excess cash to opportunistically repurchase our shares. The recent authorization from our Board of Directors for $500 million in share repurchases provides us with the flexibility to do so. Any signal on the pace of repurchase execution in Q2 would be incrementally positive.</w:t>
      </w:r>
    </w:p>
    <w:p>
      <w:pPr>
        <w:pStyle w:val="Compact"/>
        <w:numPr>
          <w:ilvl w:val="0"/>
          <w:numId w:val="1004"/>
        </w:numPr>
      </w:pPr>
      <w:r>
        <w:t xml:space="preserve">FCF guide: Free cash flow is expected to be in the range of $500 million to</w:t>
      </w:r>
      <w:r>
        <w:t xml:space="preserve"> </w:t>
      </w:r>
      <m:oMath>
        <m:r>
          <m:t>700</m:t>
        </m:r>
        <m:r>
          <m:t>m</m:t>
        </m:r>
        <m:r>
          <m:t>i</m:t>
        </m:r>
        <m:r>
          <m:t>l</m:t>
        </m:r>
        <m:r>
          <m:t>l</m:t>
        </m:r>
        <m:r>
          <m:t>i</m:t>
        </m:r>
        <m:r>
          <m:t>o</m:t>
        </m:r>
        <m:r>
          <m:t>n</m:t>
        </m:r>
        <m:r>
          <m:rPr>
            <m:sty m:val="p"/>
          </m:rPr>
          <m:t>,</m:t>
        </m:r>
        <m:r>
          <m:t>i</m:t>
        </m:r>
        <m:r>
          <m:t>n</m:t>
        </m:r>
        <m:r>
          <m:t>c</m:t>
        </m:r>
        <m:r>
          <m:t>l</m:t>
        </m:r>
        <m:r>
          <m:t>u</m:t>
        </m:r>
        <m:r>
          <m:t>d</m:t>
        </m:r>
        <m:r>
          <m:t>i</m:t>
        </m:r>
        <m:r>
          <m:t>n</m:t>
        </m:r>
        <m:r>
          <m:t>g</m:t>
        </m:r>
        <m:r>
          <m:t>p</m:t>
        </m:r>
        <m:r>
          <m:t>r</m:t>
        </m:r>
        <m:r>
          <m:t>o</m:t>
        </m:r>
        <m:r>
          <m:t>j</m:t>
        </m:r>
        <m:r>
          <m:t>e</m:t>
        </m:r>
        <m:r>
          <m:t>c</m:t>
        </m:r>
        <m:r>
          <m:t>t</m:t>
        </m:r>
        <m:r>
          <m:t>e</m:t>
        </m:r>
        <m:r>
          <m:t>d</m:t>
        </m:r>
        <m:r>
          <m:t>t</m:t>
        </m:r>
        <m:r>
          <m:t>a</m:t>
        </m:r>
        <m:r>
          <m:t>x</m:t>
        </m:r>
        <m:r>
          <m:t>e</m:t>
        </m:r>
        <m:r>
          <m:t>s</m:t>
        </m:r>
        <m:r>
          <m:t>a</m:t>
        </m:r>
        <m:r>
          <m:t>n</m:t>
        </m:r>
        <m:r>
          <m:t>d</m:t>
        </m:r>
        <m:r>
          <m:t>f</m:t>
        </m:r>
        <m:r>
          <m:t>e</m:t>
        </m:r>
        <m:r>
          <m:t>e</m:t>
        </m:r>
        <m:r>
          <m:t>s</m:t>
        </m:r>
        <m:r>
          <m:t>a</m:t>
        </m:r>
        <m:r>
          <m:t>s</m:t>
        </m:r>
        <m:r>
          <m:t>s</m:t>
        </m:r>
        <m:r>
          <m:t>o</m:t>
        </m:r>
        <m:r>
          <m:t>c</m:t>
        </m:r>
        <m:r>
          <m:t>i</m:t>
        </m:r>
        <m:r>
          <m:t>a</m:t>
        </m:r>
        <m:r>
          <m:t>t</m:t>
        </m:r>
        <m:r>
          <m:t>e</m:t>
        </m:r>
        <m:r>
          <m:t>d</m:t>
        </m:r>
        <m:r>
          <m:t>w</m:t>
        </m:r>
        <m:r>
          <m:t>i</m:t>
        </m:r>
        <m:r>
          <m:t>t</m:t>
        </m:r>
        <m:r>
          <m:t>h</m:t>
        </m:r>
        <m:r>
          <m:t>t</m:t>
        </m:r>
        <m:r>
          <m:t>h</m:t>
        </m:r>
        <m:r>
          <m:t>e</m:t>
        </m:r>
        <m:r>
          <m:t>C</m:t>
        </m:r>
        <m:r>
          <m:t>A</m:t>
        </m:r>
        <m:r>
          <m:t>M</m:t>
        </m:r>
        <m:r>
          <m:t>d</m:t>
        </m:r>
        <m:r>
          <m:t>i</m:t>
        </m:r>
        <m:r>
          <m:t>v</m:t>
        </m:r>
        <m:r>
          <m:t>e</m:t>
        </m:r>
        <m:r>
          <m:t>s</m:t>
        </m:r>
        <m:r>
          <m:t>t</m:t>
        </m:r>
        <m:r>
          <m:t>i</m:t>
        </m:r>
        <m:r>
          <m:t>t</m:t>
        </m:r>
        <m:r>
          <m:t>u</m:t>
        </m:r>
        <m:r>
          <m:t>r</m:t>
        </m:r>
        <m:r>
          <m:t>e</m:t>
        </m:r>
        <m:r>
          <m:rPr>
            <m:sty m:val="p"/>
          </m:rPr>
          <m:t>(</m:t>
        </m:r>
      </m:oMath>
      <w:r>
        <w:t xml:space="preserve">700–900M excluding).</w:t>
      </w:r>
    </w:p>
    <w:bookmarkEnd w:id="14"/>
    <w:bookmarkStart w:id="15" w:name="demand--volume-where-the-debate-is"/>
    <w:p>
      <w:pPr>
        <w:pStyle w:val="Heading2"/>
      </w:pPr>
      <w:r>
        <w:t xml:space="preserve">Demand &amp; Volume: Where the Debate Is</w:t>
      </w:r>
    </w:p>
    <w:p>
      <w:pPr>
        <w:pStyle w:val="FirstParagraph"/>
      </w:pPr>
      <w:r>
        <w:t xml:space="preserve">The top line is the soft spot. Management is guiding Q2 to inflect to low-single-digit organic growth, largely on easy comps and self-help, not a market recovery:</w:t>
      </w:r>
    </w:p>
    <w:p>
      <w:pPr>
        <w:pStyle w:val="Compact"/>
        <w:numPr>
          <w:ilvl w:val="0"/>
          <w:numId w:val="1005"/>
        </w:numPr>
      </w:pPr>
      <w:r>
        <w:t xml:space="preserve">The macro read is cautious-but-stable: in a really challenging global macro backdrop... the pro and the consumer hanging in better than one might expect. Their outlook assumes buyers "hang in there where they've been the last 3 quarters."</w:t>
      </w:r>
    </w:p>
    <w:p>
      <w:pPr>
        <w:pStyle w:val="Compact"/>
        <w:numPr>
          <w:ilvl w:val="0"/>
          <w:numId w:val="1005"/>
        </w:numPr>
      </w:pPr>
      <w:r>
        <w:t xml:space="preserve">The Q2 inflection driver is comps and promo strategy: as we start lapping the promotional disruption that started in the second quarter last year.</w:t>
      </w:r>
    </w:p>
    <w:p>
      <w:pPr>
        <w:pStyle w:val="Compact"/>
        <w:numPr>
          <w:ilvl w:val="0"/>
          <w:numId w:val="1005"/>
        </w:numPr>
      </w:pPr>
      <w:r>
        <w:rPr>
          <w:b/>
          <w:bCs/>
        </w:rPr>
        <w:t xml:space="preserve">Bright spots</w:t>
      </w:r>
      <w:r>
        <w:t xml:space="preserve">: outdoor preseason sell-in was strong (ride-on/zero-turn mowers), and the pro channel is outperforming — The U.S. commercial and industrial channel delivered high single-digit organic growth, helped by DEWALT conversions and data-center-driven demand.</w:t>
      </w:r>
    </w:p>
    <w:p>
      <w:pPr>
        <w:pStyle w:val="Compact"/>
        <w:numPr>
          <w:ilvl w:val="0"/>
          <w:numId w:val="1005"/>
        </w:numPr>
      </w:pPr>
      <w:r>
        <w:rPr>
          <w:b/>
          <w:bCs/>
        </w:rPr>
        <w:t xml:space="preserve">Weak spots</w:t>
      </w:r>
      <w:r>
        <w:t xml:space="preserve">: North America retail/DIY. In Q1, Power tools organic revenue declined 2%, and hand tools accessory and storage organic revenue declined 3%.</w:t>
      </w:r>
    </w:p>
    <w:bookmarkEnd w:id="15"/>
    <w:bookmarkStart w:id="16" w:name="brand-roadmap--milestones-to-check"/>
    <w:p>
      <w:pPr>
        <w:pStyle w:val="Heading2"/>
      </w:pPr>
      <w:r>
        <w:t xml:space="preserve">Brand Roadmap — Milestones to Check</w:t>
      </w:r>
    </w:p>
    <w:p>
      <w:pPr>
        <w:pStyle w:val="Compact"/>
        <w:numPr>
          <w:ilvl w:val="0"/>
          <w:numId w:val="1006"/>
        </w:numPr>
      </w:pPr>
      <w:r>
        <w:rPr>
          <w:b/>
          <w:bCs/>
        </w:rPr>
        <w:t xml:space="preserve">STANLEY</w:t>
      </w:r>
      <w:r>
        <w:t xml:space="preserve">: management guided it would return to growth with the STANLEY brand by mid-year. Q2 is that checkpoint — did it inflect?</w:t>
      </w:r>
    </w:p>
    <w:p>
      <w:pPr>
        <w:pStyle w:val="Compact"/>
        <w:numPr>
          <w:ilvl w:val="0"/>
          <w:numId w:val="1006"/>
        </w:numPr>
      </w:pPr>
      <w:r>
        <w:rPr>
          <w:b/>
          <w:bCs/>
        </w:rPr>
        <w:t xml:space="preserve">DEWALT</w:t>
      </w:r>
      <w:r>
        <w:t xml:space="preserve">: continued pro momentum via the PERFORM &amp; PROTECT lineup.</w:t>
      </w:r>
    </w:p>
    <w:p>
      <w:pPr>
        <w:pStyle w:val="Compact"/>
        <w:numPr>
          <w:ilvl w:val="0"/>
          <w:numId w:val="1006"/>
        </w:numPr>
      </w:pPr>
      <w:r>
        <w:rPr>
          <w:b/>
          <w:bCs/>
        </w:rPr>
        <w:t xml:space="preserve">CRAFTSMAN</w:t>
      </w:r>
      <w:r>
        <w:t xml:space="preserve">: a bigger 2026 relaunch, with one of our largest-ever launch... NPD launch cycles this year for the CRAFTSMAN brand, with benefits weighted to year-end/2027.</w:t>
      </w:r>
    </w:p>
    <w:bookmarkEnd w:id="16"/>
    <w:bookmarkStart w:id="17" w:name="X8b3f217a407cbc4a08913914a2e52b767d2ed8f"/>
    <w:p>
      <w:pPr>
        <w:pStyle w:val="Heading2"/>
      </w:pPr>
      <w:r>
        <w:t xml:space="preserve">Modeling Housekeeping (CAM &amp; Outdoor licensing)</w:t>
      </w:r>
    </w:p>
    <w:p>
      <w:pPr>
        <w:pStyle w:val="Compact"/>
        <w:numPr>
          <w:ilvl w:val="0"/>
          <w:numId w:val="1007"/>
        </w:numPr>
      </w:pPr>
      <w:r>
        <w:t xml:space="preserve">CAM exits results as of April 6, so reported Engineered Fastening revenue and total revenue step down. Management flagged the swap is EPS-neutral: the loss of contribution relative to the loss of interest expense, roughly offset each other on a pretax basis. Full-year interest expense now ~$270M.</w:t>
      </w:r>
    </w:p>
    <w:p>
      <w:pPr>
        <w:pStyle w:val="Compact"/>
        <w:numPr>
          <w:ilvl w:val="0"/>
          <w:numId w:val="1007"/>
        </w:numPr>
      </w:pPr>
      <w:r>
        <w:t xml:space="preserve">A gas walk-behind outdoor product transition (full-manufacturer → licensed model) affects reported vs. organic sales in the back half — a change on the top line of a couple of hundred million dollars that net-net is accretive on the bottom line — but is a H2 item, not this quarter.</w:t>
      </w:r>
    </w:p>
    <w:bookmarkEnd w:id="17"/>
    <w:bookmarkStart w:id="18" w:name="stock-context--expectations-are-elevated"/>
    <w:p>
      <w:pPr>
        <w:pStyle w:val="Heading2"/>
      </w:pPr>
      <w:r>
        <w:t xml:space="preserve">Stock Context — Expectations Are Elevated</w:t>
      </w:r>
    </w:p>
    <w:p>
      <w:pPr>
        <w:pStyle w:val="Compact"/>
        <w:numPr>
          <w:ilvl w:val="0"/>
          <w:numId w:val="1008"/>
        </w:numPr>
      </w:pPr>
      <w:r>
        <w:t xml:space="preserve">SWK closed at</w:t>
      </w:r>
      <w:r>
        <w:t xml:space="preserve"> </w:t>
      </w:r>
      <w:r>
        <w:rPr>
          <w:b/>
          <w:bCs/>
        </w:rPr>
        <w:t xml:space="preserve">$94.21 on July 28</w:t>
      </w:r>
      <w:r>
        <w:t xml:space="preserve">, up roughly</w:t>
      </w:r>
      <w:r>
        <w:t xml:space="preserve"> </w:t>
      </w:r>
      <w:r>
        <w:rPr>
          <w:b/>
          <w:bCs/>
        </w:rPr>
        <w:t xml:space="preserve">23% year-to-date</w:t>
      </w:r>
      <w:r>
        <w:t xml:space="preserve"> </w:t>
      </w:r>
      <w:r>
        <w:t xml:space="preserve">and comfortably outpacing the S&amp;P 500 (~+8% over the same span).</w:t>
      </w:r>
    </w:p>
    <w:p>
      <w:pPr>
        <w:pStyle w:val="Compact"/>
        <w:numPr>
          <w:ilvl w:val="0"/>
          <w:numId w:val="1008"/>
        </w:numPr>
      </w:pPr>
      <w:r>
        <w:t xml:space="preserve">The shares have staged a powerful recovery — up</w:t>
      </w:r>
      <w:r>
        <w:t xml:space="preserve"> </w:t>
      </w:r>
      <w:r>
        <w:rPr>
          <w:b/>
          <w:bCs/>
        </w:rPr>
        <w:t xml:space="preserve">~40% from their mid-April low near $67</w:t>
      </w:r>
      <w:r>
        <w:t xml:space="preserve"> </w:t>
      </w:r>
      <w:r>
        <w:t xml:space="preserve">— and rallied ~9% in just the two weeks into the print, leaving the stock near its highs of the year.</w:t>
      </w:r>
    </w:p>
    <w:p>
      <w:pPr>
        <w:pStyle w:val="Compact"/>
        <w:numPr>
          <w:ilvl w:val="0"/>
          <w:numId w:val="1008"/>
        </w:numPr>
      </w:pPr>
      <w:r>
        <w:rPr>
          <w:b/>
          <w:bCs/>
        </w:rPr>
        <w:t xml:space="preserve">Implication</w:t>
      </w:r>
      <w:r>
        <w:t xml:space="preserve">: the easy multiple re-rating from the CAM deal and margin narrative may already be substantially priced in. With guidance already public, the reaction will likely hinge on (1) whether the ~300bps Q2 gross-margin step-up materializes, (2) reaffirmation (or raise) of the full-year</w:t>
      </w:r>
      <w:r>
        <w:t xml:space="preserve"> </w:t>
      </w:r>
      <m:oMath>
        <m:r>
          <m:t>4.90</m:t>
        </m:r>
        <m:r>
          <m:rPr>
            <m:sty m:val="p"/>
          </m:rPr>
          <m:t>–</m:t>
        </m:r>
      </m:oMath>
      <w:r>
        <w:t xml:space="preserve">5.70 adjusted EPS and the Q4 path to 35% gross margin, (3) evidence organic volume actually inflected positive, and (4) tone/size on buybacks now that leverage is under control.</w:t>
      </w:r>
    </w:p>
    <w:bookmarkEnd w:id="18"/>
    <w:bookmarkStart w:id="19" w:name="bottom-line--what-to-watch"/>
    <w:p>
      <w:pPr>
        <w:pStyle w:val="Heading2"/>
      </w:pPr>
      <w:r>
        <w:t xml:space="preserve">Bottom Line — What to Watch</w:t>
      </w:r>
    </w:p>
    <w:p>
      <w:pPr>
        <w:pStyle w:val="Compact"/>
        <w:numPr>
          <w:ilvl w:val="0"/>
          <w:numId w:val="1009"/>
        </w:numPr>
      </w:pPr>
      <w:r>
        <w:rPr>
          <w:b/>
          <w:bCs/>
        </w:rPr>
        <w:t xml:space="preserve">Gross margin</w:t>
      </w:r>
      <w:r>
        <w:t xml:space="preserve">: Did Q2 deliver ~+300bps YoY, and is the Q4 "35%+" target reaffirmed? (Most important.)</w:t>
      </w:r>
    </w:p>
    <w:p>
      <w:pPr>
        <w:pStyle w:val="Compact"/>
        <w:numPr>
          <w:ilvl w:val="0"/>
          <w:numId w:val="1009"/>
        </w:numPr>
      </w:pPr>
      <w:r>
        <w:rPr>
          <w:b/>
          <w:bCs/>
        </w:rPr>
        <w:t xml:space="preserve">Full-year guide</w:t>
      </w:r>
      <w:r>
        <w:t xml:space="preserve">: Reaffirm/raise</w:t>
      </w:r>
      <w:r>
        <w:t xml:space="preserve"> </w:t>
      </w:r>
      <m:oMath>
        <m:r>
          <m:t>4.90</m:t>
        </m:r>
        <m:r>
          <m:rPr>
            <m:sty m:val="p"/>
          </m:rPr>
          <m:t>–</m:t>
        </m:r>
      </m:oMath>
      <w:r>
        <w:t xml:space="preserve">5.70 adjusted EPS? Any change now that 301 tariffs are live near IEEPA levels.</w:t>
      </w:r>
    </w:p>
    <w:p>
      <w:pPr>
        <w:pStyle w:val="Compact"/>
        <w:numPr>
          <w:ilvl w:val="0"/>
          <w:numId w:val="1009"/>
        </w:numPr>
      </w:pPr>
      <w:r>
        <w:rPr>
          <w:b/>
          <w:bCs/>
        </w:rPr>
        <w:t xml:space="preserve">Organic growth inflection</w:t>
      </w:r>
      <w:r>
        <w:t xml:space="preserve">: Positive LSD organic, plus STANLEY back to growth "by mid-year."</w:t>
      </w:r>
    </w:p>
    <w:p>
      <w:pPr>
        <w:pStyle w:val="Compact"/>
        <w:numPr>
          <w:ilvl w:val="0"/>
          <w:numId w:val="1009"/>
        </w:numPr>
      </w:pPr>
      <w:r>
        <w:rPr>
          <w:b/>
          <w:bCs/>
        </w:rPr>
        <w:t xml:space="preserve">Capital return</w:t>
      </w:r>
      <w:r>
        <w:t xml:space="preserve">: Pace of the $500M buyback and confirmation of the 2.5x leverage glide path.</w:t>
      </w:r>
    </w:p>
    <w:p>
      <w:pPr>
        <w:pStyle w:val="Compact"/>
        <w:numPr>
          <w:ilvl w:val="0"/>
          <w:numId w:val="1009"/>
        </w:numPr>
      </w:pPr>
      <w:r>
        <w:rPr>
          <w:b/>
          <w:bCs/>
        </w:rPr>
        <w:t xml:space="preserve">Demand tone</w:t>
      </w:r>
      <w:r>
        <w:t xml:space="preserve">: Any change to the "consumer/pro hanging in" macro read, outdoor sell-through this season, and pro/C&amp;I momentum.</w:t>
      </w:r>
    </w:p>
    <w:p>
      <w:pPr>
        <w:pStyle w:val="FirstParagraph"/>
      </w:pPr>
      <w:r>
        <w:rPr>
          <w:i/>
          <w:iCs/>
        </w:rPr>
        <w:t xml:space="preserve">Balance of risk into the print: fundamentals and the tariff backdrop are trending in management's favor, but a stock near highs with guidance already in the market raises the risk of a "good-but-priced-in" reaction unless the margin ramp and organic inflection clearly beat.</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2026-07-29T00:11:06Z</dcterms:created>
  <dcterms:modified xsi:type="dcterms:W3CDTF">2026-07-29T00:11:06Z</dcterms:modified>
</cp:coreProperties>
</file>

<file path=docProps/custom.xml><?xml version="1.0" encoding="utf-8"?>
<Properties xmlns="http://schemas.openxmlformats.org/officeDocument/2006/custom-properties" xmlns:vt="http://schemas.openxmlformats.org/officeDocument/2006/docPropsVTypes"/>
</file>