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-earnings-predictions--2026-07-29"/>
    <w:p>
      <w:pPr>
        <w:pStyle w:val="Heading1"/>
      </w:pPr>
      <w:r>
        <w:t xml:space="preserve">SWK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 vs. cons $1.20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~$3.95B vs. cons $3.93B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(Q2 2026, YoY bps)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~+330bps YoY (~32.3%) vs. cons/guide ~+300bps (~32.0%)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5.00</m:t>
              </m:r>
              <m:r>
                <m:rPr>
                  <m:sty m:val="p"/>
                </m:rPr>
                <m:t>−</m:t>
              </m:r>
            </m:oMath>
            <w:r>
              <w:t xml:space="preserve">5.75 (narrowed/raised low end) vs. cons ~$5.25 midpoint of prior</w:t>
            </w:r>
            <w:r>
              <w:t xml:space="preserve"> </w:t>
            </w:r>
            <m:oMath>
              <m:r>
                <m:t>4.90</m:t>
              </m:r>
              <m:r>
                <m:rPr>
                  <m:sty m:val="p"/>
                </m:rPr>
                <m:t>−</m:t>
              </m:r>
            </m:oMath>
            <w:r>
              <w:t xml:space="preserve">5.70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gross margin trajectory (path to 35%+ by Q4'26)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~35%+ exit rate reaffirmed vs. cons ~34.8% (Q4 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growth / Tools &amp; Outdoor cadence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~low-single-digit organic growth reiterated vs. cons ~+2% organic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Tariff/inflation net-neutral offset assumption for FY2026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~net-neutral (tariff tailwind offset by battery metals/tungsten/resin inflation) reaffirmed vs. cons assuming same net-neutral ~0% net impact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has run up ~24% YTD and ~8% in the week pre-print, trading above most sell-side targets ($84-92 vs $94 spot), so even a clean beat-in-line-with-high-end-of-guide result is largely priced in ('sell the news'). Because FY guidance is likely only reaffirmed/modestly raised rather than raised in proportion to the Q2 beat (mirroring the Q1 pattern where the CAM-related EPS neutrality masked underlying momentum), the implicit 2H26 estimates get trimmed by the sell-side even after a Q2 beat, pulling consensus full-year EPS down slightly and causing follow-on selling/fade over the week as analysts true-up back-half numbers to the reaffirmed range rather than extrapolating Q2's outperformance.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2026-07-29T00:13:59Z</dcterms:created>
  <dcterms:modified xsi:type="dcterms:W3CDTF">2026-07-29T00:13:59Z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